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52B" w:rsidRDefault="00EB152B" w:rsidP="00EB152B">
      <w:pPr>
        <w:ind w:right="423"/>
        <w:jc w:val="both"/>
        <w:rPr>
          <w:rFonts w:ascii="Arial" w:hAnsi="Arial" w:cs="Arial"/>
          <w:b/>
          <w:sz w:val="22"/>
          <w:szCs w:val="22"/>
        </w:rPr>
      </w:pPr>
    </w:p>
    <w:p w:rsidR="00883BE4" w:rsidRPr="00034EA1" w:rsidRDefault="00EB152B" w:rsidP="00883BE4">
      <w:pPr>
        <w:jc w:val="center"/>
        <w:rPr>
          <w:rFonts w:ascii="Arial" w:hAnsi="Arial" w:cs="Arial"/>
          <w:i/>
        </w:rPr>
      </w:pPr>
      <w:r w:rsidRPr="00CB7ADC">
        <w:rPr>
          <w:rFonts w:ascii="Arial" w:hAnsi="Arial" w:cs="Arial"/>
          <w:b/>
          <w:sz w:val="22"/>
          <w:szCs w:val="22"/>
        </w:rPr>
        <w:t>MEMO</w:t>
      </w:r>
      <w:r w:rsidRPr="00883BE4">
        <w:rPr>
          <w:rFonts w:ascii="Arial" w:hAnsi="Arial" w:cs="Arial"/>
          <w:b/>
          <w:sz w:val="22"/>
          <w:szCs w:val="22"/>
        </w:rPr>
        <w:t>RIA JUSTIFICATIVA POR MEDIO DE LA CUAL SE PROPONE L</w:t>
      </w:r>
      <w:r w:rsidR="00883BE4" w:rsidRPr="00883BE4">
        <w:rPr>
          <w:rFonts w:ascii="Arial" w:hAnsi="Arial" w:cs="Arial"/>
          <w:b/>
          <w:sz w:val="22"/>
          <w:szCs w:val="22"/>
        </w:rPr>
        <w:t xml:space="preserve">A EXPEDICIÓN DE LA RESOLUCIÓN </w:t>
      </w:r>
      <w:r w:rsidR="00883BE4" w:rsidRPr="00883BE4">
        <w:rPr>
          <w:rFonts w:ascii="Arial" w:hAnsi="Arial" w:cs="Arial"/>
          <w:b/>
          <w:i/>
          <w:color w:val="000000" w:themeColor="text1"/>
        </w:rPr>
        <w:t>“Por medio de la cual se establecen los requisitos y el procedimiento para la sustracción temporal y definitiva especial de áreas de Reserva Forestal establecidas mediante la Ley 2ª de 1959, en el marco de las Áreas de Reserva Especial donde existan explotaciones tradicionales de minería informal, de conformidad con lo señalado en los artículos 31 (Modificado por el artículo 147 del Decreto Ley 019 de 2012) y 248 de la Ley 685 de 2001, y se toman otras determinaciones.”</w:t>
      </w:r>
    </w:p>
    <w:p w:rsidR="00EB152B" w:rsidRPr="00CB7ADC" w:rsidRDefault="00EB152B" w:rsidP="00EB152B">
      <w:pPr>
        <w:ind w:right="423"/>
        <w:jc w:val="center"/>
        <w:rPr>
          <w:rFonts w:ascii="Arial" w:hAnsi="Arial" w:cs="Arial"/>
          <w:b/>
          <w:sz w:val="22"/>
          <w:szCs w:val="22"/>
        </w:rPr>
      </w:pPr>
    </w:p>
    <w:p w:rsidR="00EB152B" w:rsidRPr="00CB7ADC" w:rsidRDefault="00EB152B" w:rsidP="00EB152B">
      <w:pPr>
        <w:jc w:val="center"/>
        <w:rPr>
          <w:rFonts w:ascii="Arial" w:hAnsi="Arial" w:cs="Arial"/>
          <w:b/>
          <w:sz w:val="22"/>
          <w:szCs w:val="22"/>
        </w:rPr>
      </w:pPr>
    </w:p>
    <w:p w:rsidR="00EB152B" w:rsidRDefault="00EB152B" w:rsidP="00EB152B">
      <w:pPr>
        <w:jc w:val="center"/>
        <w:rPr>
          <w:rFonts w:ascii="Arial" w:hAnsi="Arial" w:cs="Arial"/>
          <w:b/>
          <w:sz w:val="22"/>
          <w:szCs w:val="22"/>
        </w:rPr>
      </w:pPr>
    </w:p>
    <w:p w:rsidR="00EB152B" w:rsidRPr="007444FE" w:rsidRDefault="00EB152B" w:rsidP="00EB152B">
      <w:pPr>
        <w:pStyle w:val="Prrafodelista"/>
        <w:numPr>
          <w:ilvl w:val="0"/>
          <w:numId w:val="1"/>
        </w:numPr>
        <w:spacing w:after="200" w:line="276" w:lineRule="auto"/>
        <w:jc w:val="both"/>
        <w:rPr>
          <w:rFonts w:ascii="Arial" w:hAnsi="Arial" w:cs="Arial"/>
          <w:sz w:val="22"/>
          <w:szCs w:val="22"/>
        </w:rPr>
      </w:pPr>
      <w:r>
        <w:rPr>
          <w:rFonts w:ascii="Arial" w:hAnsi="Arial" w:cs="Arial"/>
          <w:b/>
          <w:sz w:val="22"/>
          <w:szCs w:val="22"/>
        </w:rPr>
        <w:t>Los antecedentes y las razones de oportunidad y conveniencia que justifican su expedición.</w:t>
      </w:r>
    </w:p>
    <w:p w:rsidR="00EB152B" w:rsidRDefault="00EB152B" w:rsidP="00EB152B">
      <w:pPr>
        <w:pStyle w:val="Prrafodelista"/>
        <w:ind w:left="360"/>
        <w:jc w:val="both"/>
        <w:rPr>
          <w:rFonts w:ascii="Arial" w:hAnsi="Arial" w:cs="Arial"/>
        </w:rPr>
      </w:pPr>
    </w:p>
    <w:p w:rsidR="00EB152B" w:rsidRPr="00EB152B" w:rsidRDefault="00EB152B" w:rsidP="00EB152B">
      <w:pPr>
        <w:widowControl w:val="0"/>
        <w:autoSpaceDE w:val="0"/>
        <w:autoSpaceDN w:val="0"/>
        <w:adjustRightInd w:val="0"/>
        <w:contextualSpacing/>
        <w:jc w:val="both"/>
        <w:rPr>
          <w:rFonts w:ascii="Arial" w:hAnsi="Arial" w:cs="Arial"/>
          <w:bCs/>
          <w:color w:val="000000"/>
          <w:sz w:val="22"/>
          <w:szCs w:val="22"/>
          <w:shd w:val="clear" w:color="auto" w:fill="FFFFFF"/>
        </w:rPr>
      </w:pPr>
      <w:r w:rsidRPr="00EB152B">
        <w:rPr>
          <w:rFonts w:ascii="Arial" w:hAnsi="Arial" w:cs="Arial"/>
          <w:sz w:val="22"/>
          <w:szCs w:val="22"/>
        </w:rPr>
        <w:t>El numeral 14 del artículo 2 del Decreto ley 3570 de 2011, describe dentro de las funciones del Ministerio de Ambiente y Desarrollo Sostenible, además de las señaladas en la Constitución Política y las leyes 99 de 1993 y 489 de 1998</w:t>
      </w:r>
      <w:r w:rsidR="00010CB9">
        <w:rPr>
          <w:rFonts w:ascii="Arial" w:hAnsi="Arial" w:cs="Arial"/>
          <w:sz w:val="22"/>
          <w:szCs w:val="22"/>
        </w:rPr>
        <w:t>, la de</w:t>
      </w:r>
      <w:r w:rsidRPr="00EB152B">
        <w:rPr>
          <w:rFonts w:ascii="Arial" w:hAnsi="Arial" w:cs="Arial"/>
          <w:sz w:val="22"/>
          <w:szCs w:val="22"/>
        </w:rPr>
        <w:t xml:space="preserve">  “…</w:t>
      </w:r>
      <w:r w:rsidRPr="00EB152B">
        <w:rPr>
          <w:rFonts w:ascii="Arial" w:hAnsi="Arial" w:cs="Arial"/>
          <w:i/>
          <w:sz w:val="22"/>
          <w:szCs w:val="22"/>
        </w:rPr>
        <w:t>declarar, reservar, alinderar realinderar, sustraer, integrar o recategorizar las áreas de reserva forestal nacionales, reglamentar su uso y funcionamiento</w:t>
      </w:r>
      <w:r w:rsidRPr="00EB152B">
        <w:rPr>
          <w:rFonts w:ascii="Arial" w:hAnsi="Arial" w:cs="Arial"/>
          <w:sz w:val="22"/>
          <w:szCs w:val="22"/>
        </w:rPr>
        <w:t xml:space="preserve">”, facultad asignada al Despacho del Ministro de Ambiente y Desarrollo, en virtud del numeral 8 del artículo 6 del mencionado decreto ley. </w:t>
      </w:r>
    </w:p>
    <w:p w:rsidR="00EB152B" w:rsidRPr="00EB152B" w:rsidRDefault="00EB152B" w:rsidP="00EB152B">
      <w:pPr>
        <w:pBdr>
          <w:top w:val="nil"/>
          <w:left w:val="nil"/>
          <w:bottom w:val="nil"/>
          <w:right w:val="nil"/>
          <w:between w:val="nil"/>
          <w:bar w:val="nil"/>
        </w:pBdr>
        <w:jc w:val="both"/>
        <w:rPr>
          <w:rFonts w:ascii="Arial" w:eastAsia="Arial Unicode MS" w:hAnsi="Arial" w:cs="Arial"/>
          <w:color w:val="000000"/>
          <w:sz w:val="22"/>
          <w:szCs w:val="22"/>
          <w:u w:color="000000"/>
          <w:bdr w:val="nil"/>
          <w:lang w:eastAsia="es-CO"/>
        </w:rPr>
      </w:pPr>
    </w:p>
    <w:p w:rsidR="00EB152B" w:rsidRPr="00EB152B" w:rsidRDefault="00EB152B" w:rsidP="00EB152B">
      <w:pPr>
        <w:jc w:val="both"/>
        <w:rPr>
          <w:rFonts w:ascii="Arial" w:eastAsia="Times New Roman" w:hAnsi="Arial" w:cs="Arial"/>
          <w:color w:val="000000"/>
          <w:sz w:val="22"/>
          <w:szCs w:val="22"/>
          <w:shd w:val="clear" w:color="auto" w:fill="FFFFFF"/>
          <w:lang w:val="es-ES"/>
        </w:rPr>
      </w:pPr>
      <w:r w:rsidRPr="00EB152B">
        <w:rPr>
          <w:rFonts w:ascii="Arial" w:eastAsia="Times New Roman" w:hAnsi="Arial" w:cs="Arial"/>
          <w:color w:val="000000"/>
          <w:sz w:val="22"/>
          <w:szCs w:val="22"/>
          <w:shd w:val="clear" w:color="auto" w:fill="FFFFFF"/>
          <w:lang w:val="es-ES"/>
        </w:rPr>
        <w:t>El artículo 1° de la Ley 2ª de 1959 y el Decreto No. 111 de 1959, se establecieron con carácter de "Zonas Forestales Protectoras" y "Bosques de Interés General", las áreas de reserva forestal nacional del Pacífico, Central, del Río Magdalena, de la Sierra Nevada de Santa Marta, de la Serranía de Los Motilones, del Cocuy y de la Amazonía, para el desarrollo de la economía forestal y la protección de los suelos, las aguas y la vida silvestre.</w:t>
      </w:r>
    </w:p>
    <w:p w:rsidR="00EB152B" w:rsidRPr="00EB152B" w:rsidRDefault="00EB152B" w:rsidP="00EB152B">
      <w:pPr>
        <w:jc w:val="both"/>
        <w:rPr>
          <w:rFonts w:ascii="Arial" w:eastAsia="Times New Roman" w:hAnsi="Arial" w:cs="Arial"/>
          <w:color w:val="000000"/>
          <w:sz w:val="22"/>
          <w:szCs w:val="22"/>
          <w:shd w:val="clear" w:color="auto" w:fill="FFFFFF"/>
          <w:lang w:val="es-ES"/>
        </w:rPr>
      </w:pPr>
    </w:p>
    <w:p w:rsidR="00EB152B" w:rsidRPr="00EB152B" w:rsidRDefault="00EB152B" w:rsidP="00EB152B">
      <w:pPr>
        <w:jc w:val="both"/>
        <w:rPr>
          <w:rFonts w:ascii="Arial" w:eastAsia="Times New Roman" w:hAnsi="Arial" w:cs="Arial"/>
          <w:color w:val="000000"/>
          <w:sz w:val="22"/>
          <w:szCs w:val="22"/>
          <w:shd w:val="clear" w:color="auto" w:fill="FFFFFF"/>
          <w:lang w:val="es-ES"/>
        </w:rPr>
      </w:pPr>
      <w:r w:rsidRPr="00EB152B">
        <w:rPr>
          <w:rFonts w:ascii="Arial" w:eastAsia="Times New Roman" w:hAnsi="Arial" w:cs="Arial"/>
          <w:color w:val="000000"/>
          <w:sz w:val="22"/>
          <w:szCs w:val="22"/>
          <w:shd w:val="clear" w:color="auto" w:fill="FFFFFF"/>
          <w:lang w:val="es-ES"/>
        </w:rPr>
        <w:t>Posteriormente los artículos 206 y 207 del Decreto-ley 2811 de 1974, Código de Recursos</w:t>
      </w:r>
      <w:r w:rsidR="0083077E">
        <w:rPr>
          <w:rFonts w:ascii="Arial" w:eastAsia="Times New Roman" w:hAnsi="Arial" w:cs="Arial"/>
          <w:color w:val="000000"/>
          <w:sz w:val="22"/>
          <w:szCs w:val="22"/>
          <w:shd w:val="clear" w:color="auto" w:fill="FFFFFF"/>
          <w:lang w:val="es-ES"/>
        </w:rPr>
        <w:t xml:space="preserve"> Naturales Renovables, determinó</w:t>
      </w:r>
      <w:r w:rsidRPr="00EB152B">
        <w:rPr>
          <w:rFonts w:ascii="Arial" w:eastAsia="Times New Roman" w:hAnsi="Arial" w:cs="Arial"/>
          <w:color w:val="000000"/>
          <w:sz w:val="22"/>
          <w:szCs w:val="22"/>
          <w:shd w:val="clear" w:color="auto" w:fill="FFFFFF"/>
          <w:lang w:val="es-ES"/>
        </w:rPr>
        <w:t xml:space="preserve">  que se denomina área de reserva forestal la zona de propiedad pública o privada reservada para destinarla exclusivamente al establecimiento o mantenimiento y utilización racional de áreas forestales, las cuales solo podrán destinarse al aprovechamiento racional permanente de los bosques que en ella existan o se establezcan, garantizando la recuperación y supervivencia de los mismos.</w:t>
      </w:r>
    </w:p>
    <w:p w:rsidR="00EB152B" w:rsidRPr="00EB152B" w:rsidRDefault="00EB152B" w:rsidP="00EB152B">
      <w:pPr>
        <w:jc w:val="both"/>
        <w:rPr>
          <w:rFonts w:ascii="Arial" w:eastAsia="Times New Roman" w:hAnsi="Arial" w:cs="Arial"/>
          <w:color w:val="000000"/>
          <w:sz w:val="22"/>
          <w:szCs w:val="22"/>
          <w:shd w:val="clear" w:color="auto" w:fill="FFFFFF"/>
          <w:lang w:val="es-ES"/>
        </w:rPr>
      </w:pPr>
    </w:p>
    <w:p w:rsidR="00EB152B" w:rsidRPr="00EB152B" w:rsidRDefault="00EB152B" w:rsidP="00EB152B">
      <w:pPr>
        <w:jc w:val="both"/>
        <w:rPr>
          <w:rFonts w:ascii="Arial" w:eastAsia="Times New Roman" w:hAnsi="Arial" w:cs="Arial"/>
          <w:i/>
          <w:iCs/>
          <w:color w:val="000000"/>
          <w:sz w:val="22"/>
          <w:szCs w:val="22"/>
          <w:shd w:val="clear" w:color="auto" w:fill="FFFFFF"/>
          <w:lang w:val="es-ES"/>
        </w:rPr>
      </w:pPr>
      <w:r>
        <w:rPr>
          <w:rFonts w:ascii="Arial" w:eastAsia="Times New Roman" w:hAnsi="Arial" w:cs="Arial"/>
          <w:color w:val="000000"/>
          <w:sz w:val="22"/>
          <w:szCs w:val="22"/>
          <w:shd w:val="clear" w:color="auto" w:fill="FFFFFF"/>
          <w:lang w:val="es-ES"/>
        </w:rPr>
        <w:t>Aunado  a lo anterior</w:t>
      </w:r>
      <w:r w:rsidRPr="00EB152B">
        <w:rPr>
          <w:rFonts w:ascii="Arial" w:eastAsia="Times New Roman" w:hAnsi="Arial" w:cs="Arial"/>
          <w:color w:val="000000"/>
          <w:sz w:val="22"/>
          <w:szCs w:val="22"/>
          <w:shd w:val="clear" w:color="auto" w:fill="FFFFFF"/>
          <w:lang w:val="es-ES"/>
        </w:rPr>
        <w:t xml:space="preserve"> el artículo 210 del precitado Código, establece que</w:t>
      </w:r>
      <w:r w:rsidRPr="00EB152B">
        <w:rPr>
          <w:rFonts w:ascii="Arial" w:eastAsiaTheme="majorEastAsia" w:hAnsi="Arial" w:cs="Arial"/>
          <w:color w:val="000000"/>
          <w:sz w:val="22"/>
          <w:szCs w:val="22"/>
          <w:shd w:val="clear" w:color="auto" w:fill="FFFFFF"/>
          <w:lang w:val="es-ES"/>
        </w:rPr>
        <w:t xml:space="preserve"> </w:t>
      </w:r>
      <w:r w:rsidRPr="00EB152B">
        <w:rPr>
          <w:rFonts w:ascii="Arial" w:eastAsia="Times New Roman" w:hAnsi="Arial" w:cs="Arial"/>
          <w:i/>
          <w:iCs/>
          <w:color w:val="000000"/>
          <w:sz w:val="22"/>
          <w:szCs w:val="22"/>
          <w:shd w:val="clear" w:color="auto" w:fill="FFFFFF"/>
          <w:lang w:val="es-ES"/>
        </w:rPr>
        <w:t>"Si en área de reserva forestal, por razones de utilidad pública o interés social, es necesario realizar actividades económicas que impliquen remoción de bosques o cambio en el uso de los suelos o cualquiera otra actividad distinta del aprovechamiento racional de los bosques, la zona afectada deberá, debidamente delimitada, ser previamente sustraída de la reserva…”.</w:t>
      </w:r>
    </w:p>
    <w:p w:rsidR="00790376" w:rsidRDefault="00790376" w:rsidP="00EB152B">
      <w:pPr>
        <w:jc w:val="both"/>
        <w:rPr>
          <w:rFonts w:ascii="Arial" w:eastAsia="Times New Roman" w:hAnsi="Arial" w:cs="Arial"/>
          <w:sz w:val="22"/>
          <w:szCs w:val="22"/>
          <w:shd w:val="clear" w:color="auto" w:fill="FFFFFF"/>
          <w:lang w:val="es-ES"/>
        </w:rPr>
      </w:pPr>
    </w:p>
    <w:p w:rsidR="00EB152B" w:rsidRPr="00EB152B" w:rsidRDefault="00CD5694" w:rsidP="00EB152B">
      <w:pPr>
        <w:jc w:val="both"/>
        <w:rPr>
          <w:rFonts w:ascii="Arial" w:eastAsia="Times New Roman" w:hAnsi="Arial" w:cs="Arial"/>
          <w:i/>
          <w:sz w:val="22"/>
          <w:szCs w:val="22"/>
          <w:lang w:val="es-ES"/>
        </w:rPr>
      </w:pPr>
      <w:r>
        <w:rPr>
          <w:rFonts w:ascii="Arial" w:eastAsia="Times New Roman" w:hAnsi="Arial" w:cs="Arial"/>
          <w:sz w:val="22"/>
          <w:szCs w:val="22"/>
          <w:shd w:val="clear" w:color="auto" w:fill="FFFFFF"/>
          <w:lang w:val="es-ES"/>
        </w:rPr>
        <w:lastRenderedPageBreak/>
        <w:t xml:space="preserve">Por otra parte, </w:t>
      </w:r>
      <w:r w:rsidR="00EB152B">
        <w:rPr>
          <w:rFonts w:ascii="Arial" w:eastAsia="Times New Roman" w:hAnsi="Arial" w:cs="Arial"/>
          <w:sz w:val="22"/>
          <w:szCs w:val="22"/>
          <w:shd w:val="clear" w:color="auto" w:fill="FFFFFF"/>
          <w:lang w:val="es-ES"/>
        </w:rPr>
        <w:t xml:space="preserve">el </w:t>
      </w:r>
      <w:r w:rsidR="00EB152B" w:rsidRPr="00EB152B">
        <w:rPr>
          <w:rFonts w:ascii="Arial" w:eastAsia="Times New Roman" w:hAnsi="Arial" w:cs="Arial"/>
          <w:sz w:val="22"/>
          <w:szCs w:val="22"/>
          <w:shd w:val="clear" w:color="auto" w:fill="FFFFFF"/>
          <w:lang w:val="es-ES"/>
        </w:rPr>
        <w:t>artículo 31 de la Ley 0685 de 2001, modificado por el artículo 147 del Decreto Ley 19 de 2012, determina: “</w:t>
      </w:r>
      <w:r w:rsidR="00EB152B" w:rsidRPr="00EB152B">
        <w:rPr>
          <w:rFonts w:ascii="Arial" w:eastAsia="Times New Roman" w:hAnsi="Arial" w:cs="Arial"/>
          <w:i/>
          <w:sz w:val="22"/>
          <w:szCs w:val="22"/>
          <w:lang w:val="es-ES"/>
        </w:rPr>
        <w:t>La Autoridad Minera o quien haga sus veces, por motivos de orden social o económico, determinados en cada caso, de oficio o por solicitud expresa de Ia comunidad minera, en aquellas áreas en donde exista explotaciones tradicionales de minería informal, delimitará zonas en las cuales temporalmente no se admitirán nuevas propuestas, sobre todos o algunos minerales. Su objeto será adelantar estudios geológicos-mineros y desarrollar proyectos mineros estratégicos para el país y su puesta en marcha. En todo caso, estos estudios geológicos-mineros y Ia iniciación de los respectivos proyectos no podrán tardar más de dos (2) años. La concesión sólo se otorgará a las mismas comunidades que hayan ejercido las explotaciones mineras tradicionales, así hubiere solicitud de terceros. Todo lo anterior, sin perjuicio de los títulos mineros vigentes”.</w:t>
      </w:r>
    </w:p>
    <w:p w:rsidR="00EB152B" w:rsidRPr="00EB152B" w:rsidRDefault="00EB152B" w:rsidP="00EB152B">
      <w:pPr>
        <w:jc w:val="both"/>
        <w:rPr>
          <w:rFonts w:ascii="Arial" w:eastAsia="Times New Roman" w:hAnsi="Arial" w:cs="Arial"/>
          <w:i/>
          <w:sz w:val="22"/>
          <w:szCs w:val="22"/>
          <w:shd w:val="clear" w:color="auto" w:fill="FFFFFF"/>
          <w:lang w:val="es-ES"/>
        </w:rPr>
      </w:pPr>
    </w:p>
    <w:p w:rsidR="00EB152B" w:rsidRPr="00EB152B" w:rsidRDefault="00CD5694" w:rsidP="00EB152B">
      <w:pPr>
        <w:jc w:val="both"/>
        <w:rPr>
          <w:rFonts w:ascii="Arial" w:eastAsia="Times New Roman" w:hAnsi="Arial" w:cs="Arial"/>
          <w:color w:val="000000" w:themeColor="text1"/>
          <w:sz w:val="22"/>
          <w:szCs w:val="22"/>
          <w:shd w:val="clear" w:color="auto" w:fill="FFFFFF"/>
          <w:lang w:val="es-ES"/>
        </w:rPr>
      </w:pPr>
      <w:r>
        <w:rPr>
          <w:rFonts w:ascii="Arial" w:eastAsia="Times New Roman" w:hAnsi="Arial" w:cs="Arial"/>
          <w:color w:val="000000" w:themeColor="text1"/>
          <w:sz w:val="22"/>
          <w:szCs w:val="22"/>
          <w:shd w:val="clear" w:color="auto" w:fill="FFFFFF"/>
          <w:lang w:val="es-ES"/>
        </w:rPr>
        <w:t>En este contexto en</w:t>
      </w:r>
      <w:r w:rsidR="00EB152B" w:rsidRPr="00EB152B">
        <w:rPr>
          <w:rFonts w:ascii="Arial" w:eastAsia="Times New Roman" w:hAnsi="Arial" w:cs="Arial"/>
          <w:color w:val="000000" w:themeColor="text1"/>
          <w:sz w:val="22"/>
          <w:szCs w:val="22"/>
          <w:shd w:val="clear" w:color="auto" w:fill="FFFFFF"/>
          <w:lang w:val="es-ES"/>
        </w:rPr>
        <w:t xml:space="preserve"> el Parágrafo 3 del artículo 11 de la Resolución 546 de 2017, expedida por la Agencia Nacional de Minería, se establece que, cuando un área declarada y delimitada como Área de Reserva Especial se encuentre superpuesta con áreas de Reserva Forestal, establecidas en la Ley 2ª de 1959, la Agencia Nacional de Minería o quien haga sus veces no realizará los estudios geológicos mineros de que trata el artículo en comento, hasta tanto la autoridad ambiental competente no efectué la sustracción de dicha área. </w:t>
      </w:r>
    </w:p>
    <w:p w:rsidR="00EB152B" w:rsidRPr="00EB152B" w:rsidRDefault="00EB152B" w:rsidP="00EB152B">
      <w:pPr>
        <w:jc w:val="both"/>
        <w:rPr>
          <w:rFonts w:ascii="Arial" w:eastAsia="Times New Roman" w:hAnsi="Arial" w:cs="Arial"/>
          <w:color w:val="000000" w:themeColor="text1"/>
          <w:sz w:val="22"/>
          <w:szCs w:val="22"/>
          <w:shd w:val="clear" w:color="auto" w:fill="FFFFFF"/>
          <w:lang w:val="es-ES"/>
        </w:rPr>
      </w:pPr>
    </w:p>
    <w:p w:rsidR="00EB152B" w:rsidRPr="00EB152B" w:rsidRDefault="00CD5694" w:rsidP="00EB152B">
      <w:pPr>
        <w:jc w:val="both"/>
        <w:rPr>
          <w:rFonts w:ascii="Arial" w:eastAsia="Calibri" w:hAnsi="Arial" w:cs="Arial"/>
          <w:sz w:val="22"/>
          <w:szCs w:val="22"/>
          <w:lang w:val="es-CO" w:eastAsia="en-US"/>
        </w:rPr>
      </w:pPr>
      <w:r>
        <w:rPr>
          <w:rFonts w:ascii="Arial" w:eastAsia="Times New Roman" w:hAnsi="Arial" w:cs="Arial"/>
          <w:color w:val="000000" w:themeColor="text1"/>
          <w:sz w:val="22"/>
          <w:szCs w:val="22"/>
          <w:shd w:val="clear" w:color="auto" w:fill="FFFFFF"/>
          <w:lang w:val="es-ES"/>
        </w:rPr>
        <w:t>En consonancia con esta</w:t>
      </w:r>
      <w:r w:rsidR="006B144C">
        <w:rPr>
          <w:rFonts w:ascii="Arial" w:eastAsia="Times New Roman" w:hAnsi="Arial" w:cs="Arial"/>
          <w:color w:val="000000" w:themeColor="text1"/>
          <w:sz w:val="22"/>
          <w:szCs w:val="22"/>
          <w:shd w:val="clear" w:color="auto" w:fill="FFFFFF"/>
          <w:lang w:val="es-ES"/>
        </w:rPr>
        <w:t xml:space="preserve"> normatividad</w:t>
      </w:r>
      <w:r w:rsidR="00EB152B" w:rsidRPr="00EB152B">
        <w:rPr>
          <w:rFonts w:ascii="Arial" w:eastAsia="Times New Roman" w:hAnsi="Arial" w:cs="Arial"/>
          <w:color w:val="000000" w:themeColor="text1"/>
          <w:sz w:val="22"/>
          <w:szCs w:val="22"/>
          <w:shd w:val="clear" w:color="auto" w:fill="FFFFFF"/>
          <w:lang w:val="es-ES"/>
        </w:rPr>
        <w:t xml:space="preserve">, es necesario establecer los requisitos y el procedimiento que permita adelantar el trámite de sustracción temporal y definitiva de las zonas de Reservas Forestales establecidas por la Ley 2ª de 1959, </w:t>
      </w:r>
      <w:r w:rsidR="00EB152B" w:rsidRPr="00EB152B">
        <w:rPr>
          <w:rFonts w:ascii="Arial" w:eastAsiaTheme="minorHAnsi" w:hAnsi="Arial" w:cs="Arial"/>
          <w:bCs/>
          <w:color w:val="000000" w:themeColor="text1"/>
          <w:sz w:val="22"/>
          <w:szCs w:val="22"/>
          <w:shd w:val="clear" w:color="auto" w:fill="FFFFFF"/>
          <w:lang w:val="es-CO" w:eastAsia="en-US"/>
        </w:rPr>
        <w:t xml:space="preserve">en el marco de las Áreas de Reserva Especial para comunidades mineras de conformidad con lo señalado en los artículos 31 (Modificado por el artículo 147 del Decreto Ley 019 de 2012) y 248 de la Ley 685 de 2001. </w:t>
      </w:r>
    </w:p>
    <w:p w:rsidR="00EB152B" w:rsidRPr="00EB152B" w:rsidRDefault="00EB152B" w:rsidP="00EB152B">
      <w:pPr>
        <w:jc w:val="both"/>
        <w:rPr>
          <w:rFonts w:ascii="Arial" w:eastAsia="Times New Roman" w:hAnsi="Arial" w:cs="Arial"/>
          <w:sz w:val="22"/>
          <w:szCs w:val="22"/>
          <w:lang w:val="es-ES"/>
        </w:rPr>
      </w:pPr>
    </w:p>
    <w:p w:rsidR="00EB152B" w:rsidRDefault="00EB152B" w:rsidP="00EB152B">
      <w:pPr>
        <w:jc w:val="both"/>
        <w:rPr>
          <w:rFonts w:ascii="Arial" w:hAnsi="Arial" w:cs="Arial"/>
          <w:b/>
          <w:sz w:val="22"/>
          <w:szCs w:val="22"/>
        </w:rPr>
      </w:pPr>
      <w:r>
        <w:rPr>
          <w:rFonts w:ascii="Arial" w:hAnsi="Arial" w:cs="Arial"/>
          <w:b/>
          <w:sz w:val="22"/>
          <w:szCs w:val="22"/>
        </w:rPr>
        <w:t>2. El ámbito de aplicación del respectivo acto y los sujetos a quienes va dirigido</w:t>
      </w:r>
    </w:p>
    <w:p w:rsidR="00EB152B" w:rsidRDefault="00EB152B" w:rsidP="00EB152B">
      <w:pPr>
        <w:tabs>
          <w:tab w:val="left" w:pos="9356"/>
        </w:tabs>
        <w:jc w:val="both"/>
        <w:rPr>
          <w:rFonts w:ascii="Arial" w:hAnsi="Arial" w:cs="Arial"/>
          <w:sz w:val="22"/>
          <w:szCs w:val="22"/>
        </w:rPr>
      </w:pPr>
    </w:p>
    <w:p w:rsidR="00EB152B" w:rsidRDefault="00EB152B" w:rsidP="00EB152B">
      <w:pPr>
        <w:tabs>
          <w:tab w:val="left" w:pos="9356"/>
        </w:tabs>
        <w:jc w:val="both"/>
        <w:rPr>
          <w:rFonts w:ascii="Arial" w:hAnsi="Arial" w:cs="Arial"/>
          <w:sz w:val="22"/>
          <w:szCs w:val="22"/>
        </w:rPr>
      </w:pPr>
      <w:r>
        <w:rPr>
          <w:rFonts w:ascii="Arial" w:hAnsi="Arial" w:cs="Arial"/>
          <w:sz w:val="22"/>
          <w:szCs w:val="22"/>
        </w:rPr>
        <w:t>El ámbito de aplicación comprende la</w:t>
      </w:r>
      <w:r w:rsidR="00CD5694">
        <w:rPr>
          <w:rFonts w:ascii="Arial" w:hAnsi="Arial" w:cs="Arial"/>
          <w:sz w:val="22"/>
          <w:szCs w:val="22"/>
        </w:rPr>
        <w:t>s  Áreas de</w:t>
      </w:r>
      <w:r>
        <w:rPr>
          <w:rFonts w:ascii="Arial" w:hAnsi="Arial" w:cs="Arial"/>
          <w:sz w:val="22"/>
          <w:szCs w:val="22"/>
        </w:rPr>
        <w:t xml:space="preserve"> </w:t>
      </w:r>
      <w:r w:rsidRPr="004743C5">
        <w:rPr>
          <w:rFonts w:ascii="Arial" w:hAnsi="Arial" w:cs="Arial"/>
          <w:sz w:val="22"/>
          <w:szCs w:val="22"/>
        </w:rPr>
        <w:t xml:space="preserve">Reserva </w:t>
      </w:r>
      <w:r w:rsidR="00CD5694">
        <w:rPr>
          <w:rFonts w:ascii="Arial" w:hAnsi="Arial" w:cs="Arial"/>
          <w:sz w:val="22"/>
          <w:szCs w:val="22"/>
        </w:rPr>
        <w:t xml:space="preserve">Forestal  establecidas mediante la ley 2ª de 1959.  </w:t>
      </w:r>
    </w:p>
    <w:p w:rsidR="00EB152B" w:rsidRDefault="00EB152B" w:rsidP="00EB152B">
      <w:pPr>
        <w:widowControl w:val="0"/>
        <w:numPr>
          <w:ilvl w:val="12"/>
          <w:numId w:val="0"/>
        </w:num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356"/>
          <w:tab w:val="left" w:pos="9575"/>
          <w:tab w:val="left" w:pos="9943"/>
        </w:tabs>
        <w:jc w:val="both"/>
        <w:rPr>
          <w:rFonts w:ascii="Arial" w:hAnsi="Arial" w:cs="Arial"/>
          <w:sz w:val="22"/>
          <w:szCs w:val="22"/>
        </w:rPr>
      </w:pPr>
    </w:p>
    <w:p w:rsidR="00EB152B" w:rsidRDefault="00EB152B" w:rsidP="00EB152B">
      <w:pPr>
        <w:tabs>
          <w:tab w:val="left" w:pos="9356"/>
        </w:tabs>
        <w:autoSpaceDE w:val="0"/>
        <w:autoSpaceDN w:val="0"/>
        <w:adjustRightInd w:val="0"/>
        <w:jc w:val="both"/>
        <w:rPr>
          <w:rFonts w:ascii="Arial" w:hAnsi="Arial" w:cs="Arial"/>
          <w:b/>
          <w:sz w:val="22"/>
          <w:szCs w:val="22"/>
        </w:rPr>
      </w:pPr>
      <w:r>
        <w:rPr>
          <w:rFonts w:ascii="Arial" w:hAnsi="Arial" w:cs="Arial"/>
          <w:b/>
          <w:sz w:val="22"/>
          <w:szCs w:val="22"/>
        </w:rPr>
        <w:t>3. La viabilidad jurídica, que deberá contar con el visto bueno de la Oficina Asesora Jurídica de la entidad o la dependencia que haga sus veces.</w:t>
      </w:r>
    </w:p>
    <w:p w:rsidR="00EB152B" w:rsidRDefault="00EB152B" w:rsidP="00EB152B">
      <w:pPr>
        <w:tabs>
          <w:tab w:val="left" w:pos="9356"/>
        </w:tabs>
        <w:autoSpaceDE w:val="0"/>
        <w:autoSpaceDN w:val="0"/>
        <w:adjustRightInd w:val="0"/>
        <w:jc w:val="both"/>
        <w:rPr>
          <w:rFonts w:ascii="Arial" w:hAnsi="Arial" w:cs="Arial"/>
          <w:sz w:val="22"/>
          <w:szCs w:val="22"/>
        </w:rPr>
      </w:pPr>
    </w:p>
    <w:p w:rsidR="00EB152B" w:rsidRDefault="00EB152B" w:rsidP="00EB152B">
      <w:pPr>
        <w:contextualSpacing/>
        <w:jc w:val="both"/>
        <w:rPr>
          <w:rFonts w:ascii="Arial" w:hAnsi="Arial" w:cs="Arial"/>
          <w:sz w:val="22"/>
          <w:szCs w:val="22"/>
        </w:rPr>
      </w:pPr>
      <w:r w:rsidRPr="00145B0F">
        <w:rPr>
          <w:rFonts w:ascii="Arial" w:hAnsi="Arial" w:cs="Arial"/>
          <w:sz w:val="22"/>
          <w:szCs w:val="22"/>
        </w:rPr>
        <w:t>El documento cuenta con la viabilidad de la Oficina Asesora Jurídica del Ministerio de Ambiente y Desarrollo Sostenible.</w:t>
      </w:r>
      <w:r w:rsidRPr="001C57AC">
        <w:rPr>
          <w:rFonts w:ascii="Arial" w:hAnsi="Arial" w:cs="Arial"/>
          <w:sz w:val="22"/>
          <w:szCs w:val="22"/>
        </w:rPr>
        <w:t xml:space="preserve"> </w:t>
      </w:r>
    </w:p>
    <w:p w:rsidR="00EB152B" w:rsidRPr="00145B0F" w:rsidRDefault="00EB152B" w:rsidP="006B144C">
      <w:pPr>
        <w:tabs>
          <w:tab w:val="left" w:pos="9356"/>
        </w:tabs>
        <w:autoSpaceDE w:val="0"/>
        <w:jc w:val="both"/>
        <w:rPr>
          <w:rFonts w:ascii="Arial" w:hAnsi="Arial" w:cs="Arial"/>
          <w:sz w:val="22"/>
          <w:szCs w:val="22"/>
        </w:rPr>
      </w:pPr>
    </w:p>
    <w:p w:rsidR="00EB152B" w:rsidRDefault="00EB152B" w:rsidP="00EB152B">
      <w:pPr>
        <w:tabs>
          <w:tab w:val="left" w:pos="9356"/>
        </w:tabs>
        <w:autoSpaceDE w:val="0"/>
        <w:ind w:left="709" w:hanging="425"/>
        <w:jc w:val="both"/>
        <w:rPr>
          <w:rFonts w:ascii="Arial" w:hAnsi="Arial" w:cs="Arial"/>
          <w:sz w:val="22"/>
          <w:szCs w:val="22"/>
        </w:rPr>
      </w:pPr>
      <w:r w:rsidRPr="00145B0F">
        <w:rPr>
          <w:rFonts w:ascii="Arial" w:hAnsi="Arial" w:cs="Arial"/>
          <w:sz w:val="22"/>
          <w:szCs w:val="22"/>
        </w:rPr>
        <w:t>3.1. Análisis expreso y detallado de las normas que otorgan la competencia para la expedición del correspondiente acto.</w:t>
      </w:r>
    </w:p>
    <w:p w:rsidR="00EB152B" w:rsidRDefault="00EB152B" w:rsidP="00EB152B">
      <w:pPr>
        <w:jc w:val="both"/>
        <w:rPr>
          <w:rFonts w:ascii="Arial" w:hAnsi="Arial" w:cs="Arial"/>
          <w:sz w:val="22"/>
          <w:szCs w:val="22"/>
        </w:rPr>
      </w:pPr>
    </w:p>
    <w:p w:rsidR="006B144C" w:rsidRDefault="00CB7483" w:rsidP="006B144C">
      <w:pPr>
        <w:tabs>
          <w:tab w:val="left" w:pos="-720"/>
        </w:tabs>
        <w:suppressAutoHyphens/>
        <w:jc w:val="both"/>
        <w:rPr>
          <w:rFonts w:ascii="Arial" w:hAnsi="Arial" w:cs="Arial"/>
          <w:sz w:val="22"/>
          <w:szCs w:val="22"/>
        </w:rPr>
      </w:pPr>
      <w:r>
        <w:rPr>
          <w:rFonts w:ascii="Arial" w:hAnsi="Arial" w:cs="Arial"/>
          <w:sz w:val="22"/>
          <w:szCs w:val="22"/>
        </w:rPr>
        <w:t xml:space="preserve">Los numerales 1º </w:t>
      </w:r>
      <w:r w:rsidR="006B144C">
        <w:rPr>
          <w:rFonts w:ascii="Arial" w:hAnsi="Arial" w:cs="Arial"/>
          <w:sz w:val="22"/>
          <w:szCs w:val="22"/>
        </w:rPr>
        <w:t>y 18</w:t>
      </w:r>
      <w:r w:rsidR="006B144C" w:rsidRPr="0077078C">
        <w:rPr>
          <w:rFonts w:ascii="Arial" w:hAnsi="Arial" w:cs="Arial"/>
          <w:sz w:val="22"/>
          <w:szCs w:val="22"/>
        </w:rPr>
        <w:t xml:space="preserve"> del artículo 5º de la Ley 99 de 1993,</w:t>
      </w:r>
      <w:r w:rsidR="006B144C">
        <w:rPr>
          <w:rFonts w:ascii="Arial" w:hAnsi="Arial" w:cs="Arial"/>
          <w:sz w:val="22"/>
          <w:szCs w:val="22"/>
        </w:rPr>
        <w:t xml:space="preserve"> le otorgan al Ministerio de Ambiente y Desarrollo Sostenible la competencia de establecer reglas a nivel nacional</w:t>
      </w:r>
      <w:r w:rsidR="006B144C" w:rsidRPr="00040238">
        <w:rPr>
          <w:rFonts w:ascii="Arial" w:hAnsi="Arial" w:cs="Arial"/>
          <w:sz w:val="22"/>
          <w:szCs w:val="22"/>
        </w:rPr>
        <w:t xml:space="preserve"> para asegurar el aprovechamiento sostenible de los recursos naturales renovables y del medio ambiente</w:t>
      </w:r>
      <w:r w:rsidR="006B144C">
        <w:rPr>
          <w:rFonts w:ascii="Arial" w:hAnsi="Arial" w:cs="Arial"/>
          <w:sz w:val="22"/>
          <w:szCs w:val="22"/>
        </w:rPr>
        <w:t xml:space="preserve">, y de coordinar el proceso de planificación en materia ambiental, a través de las siguientes funciones: </w:t>
      </w:r>
    </w:p>
    <w:p w:rsidR="006B144C" w:rsidRPr="0077078C" w:rsidRDefault="006B144C" w:rsidP="006B144C">
      <w:pPr>
        <w:tabs>
          <w:tab w:val="left" w:pos="-720"/>
        </w:tabs>
        <w:suppressAutoHyphens/>
        <w:jc w:val="both"/>
        <w:rPr>
          <w:rFonts w:ascii="Arial" w:hAnsi="Arial" w:cs="Arial"/>
          <w:sz w:val="22"/>
          <w:szCs w:val="22"/>
        </w:rPr>
      </w:pPr>
    </w:p>
    <w:p w:rsidR="006B144C" w:rsidRDefault="006B144C" w:rsidP="006B144C">
      <w:pPr>
        <w:pStyle w:val="Prrafodelista"/>
        <w:numPr>
          <w:ilvl w:val="0"/>
          <w:numId w:val="2"/>
        </w:numPr>
        <w:tabs>
          <w:tab w:val="left" w:pos="-720"/>
        </w:tabs>
        <w:suppressAutoHyphens/>
        <w:jc w:val="both"/>
        <w:rPr>
          <w:rFonts w:ascii="Arial" w:hAnsi="Arial" w:cs="Arial"/>
          <w:sz w:val="22"/>
          <w:szCs w:val="22"/>
        </w:rPr>
      </w:pPr>
      <w:r>
        <w:rPr>
          <w:rFonts w:ascii="Arial" w:hAnsi="Arial" w:cs="Arial"/>
          <w:sz w:val="22"/>
          <w:szCs w:val="22"/>
        </w:rPr>
        <w:t>“</w:t>
      </w:r>
      <w:r w:rsidRPr="00672D5A">
        <w:rPr>
          <w:rFonts w:ascii="Arial" w:hAnsi="Arial" w:cs="Arial"/>
          <w:i/>
          <w:sz w:val="22"/>
          <w:szCs w:val="22"/>
        </w:rPr>
        <w:t>Formular la política nacional en relación con el medio ambiente y los recursos naturales renovables, y establecer las reglas y criterios de ordenamiento ambiental de uso del territorio y de los mares adyacentes, para asegurar el aprovechamiento sostenible de los recursos naturales renovables y del medio ambiente</w:t>
      </w:r>
      <w:r>
        <w:rPr>
          <w:rFonts w:ascii="Arial" w:hAnsi="Arial" w:cs="Arial"/>
          <w:sz w:val="22"/>
          <w:szCs w:val="22"/>
        </w:rPr>
        <w:t>”.</w:t>
      </w:r>
    </w:p>
    <w:p w:rsidR="00EB152B" w:rsidRPr="0077078C" w:rsidRDefault="00EB152B" w:rsidP="00EB152B">
      <w:pPr>
        <w:tabs>
          <w:tab w:val="left" w:pos="-720"/>
        </w:tabs>
        <w:suppressAutoHyphens/>
        <w:jc w:val="both"/>
        <w:rPr>
          <w:rFonts w:ascii="Arial" w:hAnsi="Arial" w:cs="Arial"/>
          <w:sz w:val="22"/>
          <w:szCs w:val="22"/>
        </w:rPr>
      </w:pPr>
    </w:p>
    <w:p w:rsidR="00EB152B" w:rsidRPr="002C780E" w:rsidRDefault="00EB152B" w:rsidP="00EB152B">
      <w:pPr>
        <w:pStyle w:val="Prrafodelista"/>
        <w:numPr>
          <w:ilvl w:val="0"/>
          <w:numId w:val="2"/>
        </w:numPr>
        <w:tabs>
          <w:tab w:val="left" w:pos="-720"/>
        </w:tabs>
        <w:suppressAutoHyphens/>
        <w:jc w:val="both"/>
        <w:rPr>
          <w:rFonts w:ascii="Arial" w:hAnsi="Arial" w:cs="Arial"/>
          <w:i/>
          <w:sz w:val="22"/>
          <w:szCs w:val="22"/>
        </w:rPr>
      </w:pPr>
      <w:r w:rsidRPr="002C780E">
        <w:rPr>
          <w:rFonts w:ascii="Arial" w:hAnsi="Arial" w:cs="Arial"/>
          <w:i/>
          <w:sz w:val="22"/>
          <w:szCs w:val="22"/>
        </w:rPr>
        <w:t>“</w:t>
      </w:r>
      <w:r w:rsidRPr="002C780E">
        <w:rPr>
          <w:rFonts w:ascii="Arial" w:hAnsi="Arial" w:cs="Arial"/>
          <w:i/>
          <w:color w:val="000000"/>
          <w:sz w:val="22"/>
          <w:szCs w:val="22"/>
          <w:shd w:val="clear" w:color="auto" w:fill="FFFFFF"/>
        </w:rPr>
        <w:t>Reservar, alinderar y sustraer (…) las reservas forestales nacionales, y reglamentar su uso y funcionamiento;”</w:t>
      </w:r>
    </w:p>
    <w:p w:rsidR="00EB152B" w:rsidRDefault="00EB152B" w:rsidP="00EB152B">
      <w:pPr>
        <w:jc w:val="both"/>
        <w:rPr>
          <w:rFonts w:ascii="Arial" w:hAnsi="Arial" w:cs="Arial"/>
          <w:sz w:val="22"/>
          <w:szCs w:val="22"/>
        </w:rPr>
      </w:pPr>
    </w:p>
    <w:p w:rsidR="00EB152B" w:rsidRPr="002C780E" w:rsidRDefault="00EB152B" w:rsidP="00EB152B">
      <w:pPr>
        <w:jc w:val="both"/>
        <w:rPr>
          <w:rFonts w:ascii="Arial" w:hAnsi="Arial" w:cs="Arial"/>
          <w:sz w:val="22"/>
          <w:szCs w:val="22"/>
        </w:rPr>
      </w:pPr>
      <w:r w:rsidRPr="002C780E">
        <w:rPr>
          <w:rFonts w:ascii="Arial" w:hAnsi="Arial" w:cs="Arial"/>
          <w:sz w:val="22"/>
          <w:szCs w:val="22"/>
        </w:rPr>
        <w:t>Estas funciones son reforzadas mediante el numeral 14º del artículo 2 del Decreto Ley 3570 de 2011</w:t>
      </w:r>
      <w:r w:rsidR="00CB7483">
        <w:rPr>
          <w:rFonts w:ascii="Arial" w:hAnsi="Arial" w:cs="Arial"/>
          <w:sz w:val="22"/>
          <w:szCs w:val="22"/>
        </w:rPr>
        <w:t>,</w:t>
      </w:r>
      <w:r w:rsidRPr="002C780E">
        <w:rPr>
          <w:rFonts w:ascii="Arial" w:hAnsi="Arial" w:cs="Arial"/>
          <w:sz w:val="22"/>
          <w:szCs w:val="22"/>
        </w:rPr>
        <w:t xml:space="preserve"> el cual le otorga a este Ministerio</w:t>
      </w:r>
      <w:r w:rsidR="00CB7483">
        <w:rPr>
          <w:rFonts w:ascii="Arial" w:hAnsi="Arial" w:cs="Arial"/>
          <w:sz w:val="22"/>
          <w:szCs w:val="22"/>
        </w:rPr>
        <w:t>,</w:t>
      </w:r>
      <w:r w:rsidRPr="002C780E">
        <w:rPr>
          <w:rFonts w:ascii="Arial" w:hAnsi="Arial" w:cs="Arial"/>
          <w:sz w:val="22"/>
          <w:szCs w:val="22"/>
        </w:rPr>
        <w:t xml:space="preserve"> la competencia para “</w:t>
      </w:r>
      <w:r w:rsidRPr="002C780E">
        <w:rPr>
          <w:rFonts w:ascii="Arial" w:hAnsi="Arial" w:cs="Arial"/>
          <w:i/>
          <w:sz w:val="22"/>
          <w:szCs w:val="22"/>
        </w:rPr>
        <w:t>Reservar y alinderar las áreas que integran el Sistema de Parques Nacionales Naturales; declarar, reservar, alinderar, realinderar, sustraer, integrar o recategorizar las áreas de reserva forestal nacionales, reglamentar su uso y funcionamiento; y declarar y sustraer Distritos Nacionales de Manejo Integrado.</w:t>
      </w:r>
      <w:r w:rsidRPr="002C780E">
        <w:rPr>
          <w:rFonts w:ascii="Arial" w:hAnsi="Arial" w:cs="Arial"/>
          <w:sz w:val="22"/>
          <w:szCs w:val="22"/>
        </w:rPr>
        <w:t xml:space="preserve"> (…) ”.</w:t>
      </w:r>
    </w:p>
    <w:p w:rsidR="00EB152B" w:rsidRPr="00145B0F" w:rsidRDefault="00EB152B" w:rsidP="00EB152B">
      <w:pPr>
        <w:jc w:val="both"/>
        <w:rPr>
          <w:rFonts w:ascii="Arial" w:hAnsi="Arial" w:cs="Arial"/>
          <w:sz w:val="22"/>
          <w:szCs w:val="22"/>
        </w:rPr>
      </w:pPr>
    </w:p>
    <w:p w:rsidR="00EB152B" w:rsidRDefault="00EB152B" w:rsidP="00EB152B">
      <w:pPr>
        <w:autoSpaceDE w:val="0"/>
        <w:ind w:left="709" w:hanging="425"/>
        <w:jc w:val="both"/>
        <w:rPr>
          <w:rFonts w:ascii="Arial" w:hAnsi="Arial" w:cs="Arial"/>
          <w:sz w:val="22"/>
          <w:szCs w:val="22"/>
        </w:rPr>
      </w:pPr>
      <w:r w:rsidRPr="00145B0F">
        <w:rPr>
          <w:rFonts w:ascii="Arial" w:hAnsi="Arial" w:cs="Arial"/>
          <w:sz w:val="22"/>
          <w:szCs w:val="22"/>
        </w:rPr>
        <w:t>3.2. La vigencia de la Ley o norma reglamentada o desarrollada.</w:t>
      </w:r>
    </w:p>
    <w:p w:rsidR="00EB152B" w:rsidRPr="00145B0F" w:rsidRDefault="00EB152B" w:rsidP="00EB152B">
      <w:pPr>
        <w:autoSpaceDE w:val="0"/>
        <w:ind w:left="709" w:hanging="425"/>
        <w:jc w:val="both"/>
        <w:rPr>
          <w:rFonts w:ascii="Arial" w:hAnsi="Arial" w:cs="Arial"/>
          <w:sz w:val="22"/>
          <w:szCs w:val="22"/>
        </w:rPr>
      </w:pPr>
    </w:p>
    <w:p w:rsidR="00EB152B" w:rsidRPr="00145B0F" w:rsidRDefault="00EB152B" w:rsidP="00EB152B">
      <w:pPr>
        <w:tabs>
          <w:tab w:val="left" w:pos="3690"/>
        </w:tabs>
        <w:ind w:right="-91"/>
        <w:jc w:val="both"/>
        <w:rPr>
          <w:rFonts w:ascii="Arial" w:hAnsi="Arial" w:cs="Arial"/>
          <w:sz w:val="22"/>
          <w:szCs w:val="22"/>
        </w:rPr>
      </w:pPr>
      <w:r w:rsidRPr="00145B0F">
        <w:rPr>
          <w:rFonts w:ascii="Arial" w:hAnsi="Arial" w:cs="Arial"/>
          <w:sz w:val="22"/>
          <w:szCs w:val="22"/>
        </w:rPr>
        <w:t>La vigencia de la propuesta de resolución rige a partir de su publicación en el Diario Oficial.</w:t>
      </w:r>
    </w:p>
    <w:p w:rsidR="00EB152B" w:rsidRDefault="00EB152B" w:rsidP="00EB152B">
      <w:pPr>
        <w:autoSpaceDE w:val="0"/>
        <w:jc w:val="both"/>
        <w:rPr>
          <w:rFonts w:ascii="Arial" w:hAnsi="Arial" w:cs="Arial"/>
          <w:sz w:val="22"/>
          <w:szCs w:val="22"/>
        </w:rPr>
      </w:pPr>
    </w:p>
    <w:p w:rsidR="00EB152B" w:rsidRPr="00145B0F" w:rsidRDefault="00EB152B" w:rsidP="00EB152B">
      <w:pPr>
        <w:autoSpaceDE w:val="0"/>
        <w:jc w:val="both"/>
        <w:rPr>
          <w:rFonts w:ascii="Arial" w:hAnsi="Arial" w:cs="Arial"/>
          <w:sz w:val="22"/>
          <w:szCs w:val="22"/>
        </w:rPr>
      </w:pPr>
    </w:p>
    <w:p w:rsidR="00EB152B" w:rsidRDefault="00EB152B" w:rsidP="00EB152B">
      <w:pPr>
        <w:autoSpaceDE w:val="0"/>
        <w:ind w:left="709" w:hanging="425"/>
        <w:jc w:val="both"/>
        <w:rPr>
          <w:rFonts w:ascii="Arial" w:hAnsi="Arial" w:cs="Arial"/>
          <w:sz w:val="22"/>
          <w:szCs w:val="22"/>
        </w:rPr>
      </w:pPr>
      <w:r w:rsidRPr="00145B0F">
        <w:rPr>
          <w:rFonts w:ascii="Arial" w:hAnsi="Arial" w:cs="Arial"/>
          <w:sz w:val="22"/>
          <w:szCs w:val="22"/>
        </w:rPr>
        <w:t>3.3. Las disposiciones derogadas, subrogadas, modificadas, adicionadas o sustituidas, si alguno de estos efectos se produce con la expedición del respectivo acto. </w:t>
      </w:r>
    </w:p>
    <w:p w:rsidR="00CB7483" w:rsidRDefault="00CB7483" w:rsidP="00EB152B">
      <w:pPr>
        <w:autoSpaceDE w:val="0"/>
        <w:ind w:left="709" w:hanging="425"/>
        <w:jc w:val="both"/>
        <w:rPr>
          <w:rFonts w:ascii="Arial" w:hAnsi="Arial" w:cs="Arial"/>
          <w:sz w:val="22"/>
          <w:szCs w:val="22"/>
        </w:rPr>
      </w:pPr>
    </w:p>
    <w:p w:rsidR="006B144C" w:rsidRPr="00145B0F" w:rsidRDefault="006B144C" w:rsidP="006B144C">
      <w:pPr>
        <w:tabs>
          <w:tab w:val="left" w:pos="3690"/>
        </w:tabs>
        <w:ind w:right="-91"/>
        <w:jc w:val="both"/>
        <w:rPr>
          <w:rFonts w:ascii="Arial" w:hAnsi="Arial" w:cs="Arial"/>
          <w:sz w:val="22"/>
          <w:szCs w:val="22"/>
        </w:rPr>
      </w:pPr>
      <w:r w:rsidRPr="00145B0F">
        <w:rPr>
          <w:rFonts w:ascii="Arial" w:hAnsi="Arial" w:cs="Arial"/>
          <w:sz w:val="22"/>
          <w:szCs w:val="22"/>
        </w:rPr>
        <w:t>La propuesta de resolución no produce ninguno de estos efectos.</w:t>
      </w:r>
    </w:p>
    <w:p w:rsidR="00EB152B" w:rsidRDefault="00EB152B" w:rsidP="00EB152B">
      <w:pPr>
        <w:tabs>
          <w:tab w:val="left" w:pos="3690"/>
        </w:tabs>
        <w:ind w:right="-91"/>
        <w:jc w:val="both"/>
        <w:rPr>
          <w:rFonts w:ascii="Arial" w:hAnsi="Arial" w:cs="Arial"/>
          <w:sz w:val="22"/>
          <w:szCs w:val="22"/>
        </w:rPr>
      </w:pPr>
    </w:p>
    <w:p w:rsidR="00EB152B" w:rsidRDefault="00EB152B" w:rsidP="00EB152B">
      <w:pPr>
        <w:autoSpaceDE w:val="0"/>
        <w:autoSpaceDN w:val="0"/>
        <w:adjustRightInd w:val="0"/>
        <w:jc w:val="both"/>
        <w:rPr>
          <w:rFonts w:ascii="Arial" w:hAnsi="Arial" w:cs="Arial"/>
          <w:b/>
          <w:sz w:val="22"/>
          <w:szCs w:val="22"/>
        </w:rPr>
      </w:pPr>
      <w:r>
        <w:rPr>
          <w:rFonts w:ascii="Arial" w:hAnsi="Arial" w:cs="Arial"/>
          <w:b/>
          <w:sz w:val="22"/>
          <w:szCs w:val="22"/>
        </w:rPr>
        <w:t>4. Impacto económico si fuere el caso, el cual deberá señalar el costo o ahorro, de la implementación del respectivo acto.</w:t>
      </w:r>
    </w:p>
    <w:p w:rsidR="00EB152B" w:rsidRDefault="00EB152B" w:rsidP="00EB152B">
      <w:pPr>
        <w:autoSpaceDE w:val="0"/>
        <w:autoSpaceDN w:val="0"/>
        <w:adjustRightInd w:val="0"/>
        <w:jc w:val="both"/>
        <w:rPr>
          <w:rFonts w:ascii="Arial" w:hAnsi="Arial" w:cs="Arial"/>
          <w:b/>
          <w:sz w:val="22"/>
          <w:szCs w:val="22"/>
        </w:rPr>
      </w:pPr>
    </w:p>
    <w:p w:rsidR="00EB152B" w:rsidRDefault="00EB152B" w:rsidP="00EB152B">
      <w:pPr>
        <w:autoSpaceDE w:val="0"/>
        <w:autoSpaceDN w:val="0"/>
        <w:adjustRightInd w:val="0"/>
        <w:jc w:val="both"/>
        <w:rPr>
          <w:rFonts w:ascii="Arial" w:hAnsi="Arial" w:cs="Arial"/>
          <w:sz w:val="22"/>
          <w:szCs w:val="22"/>
        </w:rPr>
      </w:pPr>
      <w:r>
        <w:rPr>
          <w:rFonts w:ascii="Arial" w:hAnsi="Arial" w:cs="Arial"/>
          <w:sz w:val="22"/>
          <w:szCs w:val="22"/>
        </w:rPr>
        <w:t>No aplica.</w:t>
      </w:r>
    </w:p>
    <w:p w:rsidR="00EB152B" w:rsidRDefault="00EB152B" w:rsidP="00EB152B">
      <w:pPr>
        <w:autoSpaceDE w:val="0"/>
        <w:autoSpaceDN w:val="0"/>
        <w:adjustRightInd w:val="0"/>
        <w:jc w:val="both"/>
        <w:rPr>
          <w:rFonts w:ascii="Arial" w:hAnsi="Arial" w:cs="Arial"/>
          <w:b/>
          <w:sz w:val="22"/>
          <w:szCs w:val="22"/>
        </w:rPr>
      </w:pPr>
    </w:p>
    <w:p w:rsidR="00EB152B" w:rsidRDefault="00EB152B" w:rsidP="00EB152B">
      <w:pPr>
        <w:autoSpaceDE w:val="0"/>
        <w:autoSpaceDN w:val="0"/>
        <w:adjustRightInd w:val="0"/>
        <w:jc w:val="both"/>
        <w:rPr>
          <w:rFonts w:ascii="Arial" w:hAnsi="Arial" w:cs="Arial"/>
          <w:b/>
          <w:sz w:val="22"/>
          <w:szCs w:val="22"/>
        </w:rPr>
      </w:pPr>
      <w:r>
        <w:rPr>
          <w:rFonts w:ascii="Arial" w:hAnsi="Arial" w:cs="Arial"/>
          <w:b/>
          <w:sz w:val="22"/>
          <w:szCs w:val="22"/>
        </w:rPr>
        <w:t>5. Disponibilidad presupuestal si fuere del caso.</w:t>
      </w:r>
    </w:p>
    <w:p w:rsidR="00EB152B" w:rsidRDefault="00EB152B" w:rsidP="00EB152B">
      <w:pPr>
        <w:autoSpaceDE w:val="0"/>
        <w:autoSpaceDN w:val="0"/>
        <w:adjustRightInd w:val="0"/>
        <w:ind w:left="708"/>
        <w:jc w:val="both"/>
        <w:rPr>
          <w:rFonts w:ascii="Arial" w:hAnsi="Arial" w:cs="Arial"/>
          <w:sz w:val="22"/>
          <w:szCs w:val="22"/>
        </w:rPr>
      </w:pPr>
    </w:p>
    <w:p w:rsidR="00EB152B" w:rsidRDefault="00EB152B" w:rsidP="00EB152B">
      <w:pPr>
        <w:autoSpaceDE w:val="0"/>
        <w:autoSpaceDN w:val="0"/>
        <w:adjustRightInd w:val="0"/>
        <w:jc w:val="both"/>
        <w:rPr>
          <w:rFonts w:ascii="Arial" w:hAnsi="Arial" w:cs="Arial"/>
          <w:sz w:val="22"/>
          <w:szCs w:val="22"/>
        </w:rPr>
      </w:pPr>
      <w:r>
        <w:rPr>
          <w:rFonts w:ascii="Arial" w:hAnsi="Arial" w:cs="Arial"/>
          <w:sz w:val="22"/>
          <w:szCs w:val="22"/>
        </w:rPr>
        <w:t>No aplica.</w:t>
      </w:r>
    </w:p>
    <w:p w:rsidR="00EB152B" w:rsidRDefault="00EB152B" w:rsidP="00EB152B">
      <w:pPr>
        <w:autoSpaceDE w:val="0"/>
        <w:autoSpaceDN w:val="0"/>
        <w:adjustRightInd w:val="0"/>
        <w:jc w:val="both"/>
        <w:rPr>
          <w:rFonts w:ascii="Arial" w:hAnsi="Arial" w:cs="Arial"/>
          <w:sz w:val="22"/>
          <w:szCs w:val="22"/>
        </w:rPr>
      </w:pPr>
    </w:p>
    <w:p w:rsidR="00EB152B" w:rsidRDefault="00EB152B" w:rsidP="00EB152B">
      <w:pPr>
        <w:autoSpaceDE w:val="0"/>
        <w:autoSpaceDN w:val="0"/>
        <w:adjustRightInd w:val="0"/>
        <w:jc w:val="both"/>
        <w:rPr>
          <w:rFonts w:ascii="Arial" w:hAnsi="Arial" w:cs="Arial"/>
          <w:sz w:val="22"/>
          <w:szCs w:val="22"/>
        </w:rPr>
      </w:pPr>
    </w:p>
    <w:p w:rsidR="00EB152B" w:rsidRDefault="00EB152B" w:rsidP="00EB152B">
      <w:pPr>
        <w:autoSpaceDE w:val="0"/>
        <w:autoSpaceDN w:val="0"/>
        <w:adjustRightInd w:val="0"/>
        <w:jc w:val="both"/>
        <w:rPr>
          <w:rFonts w:ascii="Arial" w:hAnsi="Arial" w:cs="Arial"/>
          <w:b/>
          <w:sz w:val="22"/>
          <w:szCs w:val="22"/>
        </w:rPr>
      </w:pPr>
      <w:r>
        <w:rPr>
          <w:rFonts w:ascii="Arial" w:hAnsi="Arial" w:cs="Arial"/>
          <w:b/>
          <w:sz w:val="22"/>
          <w:szCs w:val="22"/>
        </w:rPr>
        <w:t>6. De ser necesario, impacto medioambiental o sobre el patrimonio cultural de la Nación.</w:t>
      </w:r>
    </w:p>
    <w:p w:rsidR="00EB152B" w:rsidRDefault="00EB152B" w:rsidP="00EB152B">
      <w:pPr>
        <w:autoSpaceDE w:val="0"/>
        <w:autoSpaceDN w:val="0"/>
        <w:adjustRightInd w:val="0"/>
        <w:jc w:val="both"/>
        <w:rPr>
          <w:rFonts w:ascii="Arial" w:hAnsi="Arial" w:cs="Arial"/>
          <w:sz w:val="22"/>
          <w:szCs w:val="22"/>
        </w:rPr>
      </w:pPr>
    </w:p>
    <w:p w:rsidR="00EB152B" w:rsidRDefault="00EB152B" w:rsidP="00EB152B">
      <w:pPr>
        <w:tabs>
          <w:tab w:val="left" w:pos="5505"/>
        </w:tabs>
        <w:jc w:val="both"/>
        <w:rPr>
          <w:rFonts w:ascii="Arial" w:hAnsi="Arial" w:cs="Arial"/>
          <w:sz w:val="22"/>
          <w:szCs w:val="22"/>
        </w:rPr>
      </w:pPr>
      <w:r>
        <w:rPr>
          <w:rFonts w:ascii="Arial" w:hAnsi="Arial" w:cs="Arial"/>
          <w:sz w:val="22"/>
          <w:szCs w:val="22"/>
        </w:rPr>
        <w:t>No aplica</w:t>
      </w:r>
    </w:p>
    <w:p w:rsidR="00EB152B" w:rsidRDefault="00EB152B" w:rsidP="00EB152B">
      <w:pPr>
        <w:tabs>
          <w:tab w:val="left" w:pos="5505"/>
        </w:tabs>
        <w:jc w:val="both"/>
        <w:rPr>
          <w:rFonts w:ascii="Arial" w:hAnsi="Arial" w:cs="Arial"/>
          <w:sz w:val="22"/>
          <w:szCs w:val="22"/>
        </w:rPr>
      </w:pPr>
    </w:p>
    <w:p w:rsidR="00EB152B" w:rsidRDefault="00EB152B" w:rsidP="00EB152B">
      <w:pPr>
        <w:tabs>
          <w:tab w:val="left" w:pos="5505"/>
        </w:tabs>
        <w:contextualSpacing/>
        <w:jc w:val="both"/>
        <w:rPr>
          <w:rFonts w:ascii="Arial" w:hAnsi="Arial" w:cs="Arial"/>
          <w:sz w:val="22"/>
          <w:szCs w:val="22"/>
        </w:rPr>
      </w:pPr>
    </w:p>
    <w:p w:rsidR="00EB152B" w:rsidRDefault="00EB152B" w:rsidP="00EB152B">
      <w:pPr>
        <w:autoSpaceDE w:val="0"/>
        <w:autoSpaceDN w:val="0"/>
        <w:adjustRightInd w:val="0"/>
        <w:contextualSpacing/>
        <w:jc w:val="both"/>
        <w:rPr>
          <w:rFonts w:ascii="Arial" w:hAnsi="Arial" w:cs="Arial"/>
          <w:b/>
          <w:sz w:val="22"/>
          <w:szCs w:val="22"/>
        </w:rPr>
      </w:pPr>
      <w:r>
        <w:rPr>
          <w:rFonts w:ascii="Arial" w:hAnsi="Arial" w:cs="Arial"/>
          <w:b/>
          <w:sz w:val="22"/>
          <w:szCs w:val="22"/>
        </w:rPr>
        <w:t>7. El cumplimiento de los requisitos de consulta y publicidad.</w:t>
      </w:r>
    </w:p>
    <w:p w:rsidR="000520BD" w:rsidRDefault="000520BD" w:rsidP="00EB152B">
      <w:pPr>
        <w:contextualSpacing/>
        <w:jc w:val="both"/>
        <w:rPr>
          <w:rFonts w:ascii="Arial" w:hAnsi="Arial" w:cs="Arial"/>
          <w:sz w:val="22"/>
          <w:szCs w:val="22"/>
        </w:rPr>
      </w:pPr>
    </w:p>
    <w:p w:rsidR="00EB152B" w:rsidRDefault="00EB152B" w:rsidP="00EB152B">
      <w:pPr>
        <w:contextualSpacing/>
        <w:jc w:val="both"/>
        <w:rPr>
          <w:rFonts w:ascii="Arial" w:hAnsi="Arial" w:cs="Arial"/>
          <w:sz w:val="22"/>
          <w:szCs w:val="22"/>
        </w:rPr>
      </w:pPr>
      <w:bookmarkStart w:id="0" w:name="_GoBack"/>
      <w:bookmarkEnd w:id="0"/>
      <w:r w:rsidRPr="00C40195">
        <w:rPr>
          <w:rFonts w:ascii="Arial" w:hAnsi="Arial" w:cs="Arial"/>
          <w:sz w:val="22"/>
          <w:szCs w:val="22"/>
        </w:rPr>
        <w:lastRenderedPageBreak/>
        <w:t xml:space="preserve">La </w:t>
      </w:r>
      <w:r>
        <w:rPr>
          <w:rFonts w:ascii="Arial" w:hAnsi="Arial" w:cs="Arial"/>
          <w:sz w:val="22"/>
          <w:szCs w:val="22"/>
        </w:rPr>
        <w:t xml:space="preserve">presente </w:t>
      </w:r>
      <w:r w:rsidRPr="00C40195">
        <w:rPr>
          <w:rFonts w:ascii="Arial" w:hAnsi="Arial" w:cs="Arial"/>
          <w:sz w:val="22"/>
          <w:szCs w:val="22"/>
        </w:rPr>
        <w:t xml:space="preserve">propuesta de resolución </w:t>
      </w:r>
      <w:r>
        <w:rPr>
          <w:rFonts w:ascii="Arial" w:hAnsi="Arial" w:cs="Arial"/>
          <w:sz w:val="22"/>
          <w:szCs w:val="22"/>
        </w:rPr>
        <w:t>aún no ha surtido el</w:t>
      </w:r>
      <w:r w:rsidRPr="00C40195">
        <w:rPr>
          <w:rFonts w:ascii="Arial" w:hAnsi="Arial" w:cs="Arial"/>
          <w:sz w:val="22"/>
          <w:szCs w:val="22"/>
        </w:rPr>
        <w:t xml:space="preserve"> trámite de consulta públ</w:t>
      </w:r>
      <w:r>
        <w:rPr>
          <w:rFonts w:ascii="Arial" w:hAnsi="Arial" w:cs="Arial"/>
          <w:sz w:val="22"/>
          <w:szCs w:val="22"/>
        </w:rPr>
        <w:t>ica en la página web del MADS.</w:t>
      </w:r>
    </w:p>
    <w:p w:rsidR="00EB152B" w:rsidRDefault="00EB152B" w:rsidP="00EB152B">
      <w:pPr>
        <w:contextualSpacing/>
        <w:jc w:val="both"/>
        <w:rPr>
          <w:rFonts w:ascii="Arial" w:hAnsi="Arial" w:cs="Arial"/>
          <w:sz w:val="22"/>
          <w:szCs w:val="22"/>
        </w:rPr>
      </w:pPr>
    </w:p>
    <w:p w:rsidR="00EB152B" w:rsidRDefault="00EB152B" w:rsidP="00EB152B">
      <w:pPr>
        <w:autoSpaceDE w:val="0"/>
        <w:autoSpaceDN w:val="0"/>
        <w:adjustRightInd w:val="0"/>
        <w:contextualSpacing/>
        <w:jc w:val="both"/>
        <w:rPr>
          <w:rFonts w:ascii="Arial" w:hAnsi="Arial" w:cs="Arial"/>
          <w:b/>
          <w:sz w:val="22"/>
          <w:szCs w:val="22"/>
        </w:rPr>
      </w:pPr>
      <w:r>
        <w:rPr>
          <w:rFonts w:ascii="Arial" w:hAnsi="Arial" w:cs="Arial"/>
          <w:b/>
          <w:sz w:val="22"/>
          <w:szCs w:val="22"/>
        </w:rPr>
        <w:t>8. Cualquier otro aspecto que la entidad remitente considere relevante o de importancia para la adopción de la decisión.</w:t>
      </w:r>
    </w:p>
    <w:p w:rsidR="00EB152B" w:rsidRPr="00560EC2" w:rsidRDefault="00EB152B" w:rsidP="00EB152B">
      <w:pPr>
        <w:tabs>
          <w:tab w:val="left" w:pos="709"/>
          <w:tab w:val="left" w:pos="1800"/>
          <w:tab w:val="left" w:pos="8820"/>
        </w:tabs>
        <w:ind w:right="18"/>
        <w:contextualSpacing/>
        <w:jc w:val="both"/>
        <w:rPr>
          <w:rFonts w:ascii="Arial" w:hAnsi="Arial" w:cs="Arial"/>
          <w:sz w:val="22"/>
          <w:szCs w:val="22"/>
        </w:rPr>
      </w:pPr>
    </w:p>
    <w:p w:rsidR="00EB152B" w:rsidRPr="00B2710E" w:rsidRDefault="00EB152B" w:rsidP="00EB152B">
      <w:pPr>
        <w:contextualSpacing/>
        <w:jc w:val="both"/>
        <w:rPr>
          <w:rFonts w:ascii="Arial" w:hAnsi="Arial" w:cs="Arial"/>
          <w:sz w:val="22"/>
          <w:szCs w:val="22"/>
        </w:rPr>
      </w:pPr>
      <w:r>
        <w:rPr>
          <w:rFonts w:ascii="Arial" w:hAnsi="Arial" w:cs="Arial"/>
          <w:sz w:val="22"/>
          <w:szCs w:val="22"/>
        </w:rPr>
        <w:t>No aplica</w:t>
      </w:r>
    </w:p>
    <w:p w:rsidR="00EB152B" w:rsidRDefault="00EB152B" w:rsidP="00EB152B">
      <w:pPr>
        <w:tabs>
          <w:tab w:val="left" w:pos="709"/>
          <w:tab w:val="left" w:pos="1800"/>
          <w:tab w:val="left" w:pos="8820"/>
        </w:tabs>
        <w:ind w:right="18"/>
        <w:jc w:val="both"/>
        <w:rPr>
          <w:rFonts w:ascii="Arial" w:hAnsi="Arial" w:cs="Arial"/>
          <w:sz w:val="22"/>
          <w:szCs w:val="22"/>
        </w:rPr>
      </w:pPr>
    </w:p>
    <w:p w:rsidR="00EB152B" w:rsidRDefault="00EB152B" w:rsidP="00EB152B">
      <w:pPr>
        <w:tabs>
          <w:tab w:val="left" w:pos="7365"/>
        </w:tabs>
        <w:jc w:val="center"/>
        <w:rPr>
          <w:rFonts w:ascii="Arial Narrow" w:hAnsi="Arial Narrow" w:cs="Arial"/>
          <w:b/>
          <w:szCs w:val="20"/>
        </w:rPr>
      </w:pPr>
    </w:p>
    <w:p w:rsidR="00EB152B" w:rsidRDefault="00EB152B" w:rsidP="00EB152B">
      <w:pPr>
        <w:tabs>
          <w:tab w:val="left" w:pos="7365"/>
        </w:tabs>
        <w:jc w:val="center"/>
        <w:rPr>
          <w:rFonts w:ascii="Arial Narrow" w:hAnsi="Arial Narrow" w:cs="Arial"/>
          <w:b/>
          <w:szCs w:val="20"/>
        </w:rPr>
      </w:pPr>
    </w:p>
    <w:p w:rsidR="00EB152B" w:rsidRDefault="00EB152B" w:rsidP="00EB152B">
      <w:pPr>
        <w:tabs>
          <w:tab w:val="left" w:pos="7365"/>
        </w:tabs>
        <w:jc w:val="center"/>
        <w:rPr>
          <w:rFonts w:ascii="Arial Narrow" w:hAnsi="Arial Narrow" w:cs="Arial"/>
          <w:b/>
          <w:szCs w:val="20"/>
        </w:rPr>
      </w:pPr>
    </w:p>
    <w:p w:rsidR="00EB152B" w:rsidRPr="00B5137D" w:rsidRDefault="00EB152B" w:rsidP="00EB152B">
      <w:pPr>
        <w:tabs>
          <w:tab w:val="left" w:pos="7365"/>
        </w:tabs>
        <w:rPr>
          <w:rFonts w:ascii="Arial" w:hAnsi="Arial" w:cs="Arial"/>
          <w:b/>
          <w:szCs w:val="20"/>
        </w:rPr>
      </w:pPr>
    </w:p>
    <w:p w:rsidR="00EB152B" w:rsidRPr="00B5137D" w:rsidRDefault="006B144C" w:rsidP="00EB152B">
      <w:pPr>
        <w:tabs>
          <w:tab w:val="left" w:pos="7365"/>
        </w:tabs>
        <w:jc w:val="center"/>
        <w:rPr>
          <w:rFonts w:ascii="Arial" w:hAnsi="Arial" w:cs="Arial"/>
          <w:b/>
          <w:sz w:val="22"/>
          <w:szCs w:val="22"/>
        </w:rPr>
      </w:pPr>
      <w:r>
        <w:rPr>
          <w:rFonts w:ascii="Arial" w:hAnsi="Arial" w:cs="Arial"/>
          <w:b/>
          <w:sz w:val="22"/>
          <w:szCs w:val="22"/>
        </w:rPr>
        <w:t xml:space="preserve">CESAR AUGUSTO REY ÁNGEL </w:t>
      </w:r>
    </w:p>
    <w:p w:rsidR="00EB152B" w:rsidRPr="00B5137D" w:rsidRDefault="00EB152B" w:rsidP="00EB152B">
      <w:pPr>
        <w:tabs>
          <w:tab w:val="left" w:pos="7365"/>
        </w:tabs>
        <w:jc w:val="center"/>
        <w:rPr>
          <w:rFonts w:ascii="Arial" w:hAnsi="Arial" w:cs="Arial"/>
          <w:sz w:val="22"/>
          <w:szCs w:val="22"/>
        </w:rPr>
      </w:pPr>
      <w:r>
        <w:rPr>
          <w:rFonts w:ascii="Arial" w:hAnsi="Arial" w:cs="Arial"/>
          <w:sz w:val="22"/>
          <w:szCs w:val="22"/>
        </w:rPr>
        <w:t>Director</w:t>
      </w:r>
      <w:r w:rsidRPr="00B5137D">
        <w:rPr>
          <w:rFonts w:ascii="Arial" w:hAnsi="Arial" w:cs="Arial"/>
          <w:sz w:val="22"/>
          <w:szCs w:val="22"/>
        </w:rPr>
        <w:t xml:space="preserve"> de Bosques, Biodiversidad y Servicios Ecosistémicos</w:t>
      </w:r>
    </w:p>
    <w:p w:rsidR="00EB152B" w:rsidRDefault="00EB152B" w:rsidP="00EB152B">
      <w:pPr>
        <w:tabs>
          <w:tab w:val="left" w:pos="7365"/>
        </w:tabs>
        <w:jc w:val="both"/>
        <w:rPr>
          <w:rFonts w:ascii="Arial" w:hAnsi="Arial" w:cs="Arial"/>
          <w:sz w:val="22"/>
          <w:szCs w:val="22"/>
        </w:rPr>
      </w:pPr>
    </w:p>
    <w:p w:rsidR="00EB152B" w:rsidRDefault="00EB152B" w:rsidP="00EB152B">
      <w:pPr>
        <w:tabs>
          <w:tab w:val="left" w:pos="7365"/>
        </w:tabs>
        <w:jc w:val="both"/>
        <w:rPr>
          <w:rFonts w:ascii="Arial" w:hAnsi="Arial" w:cs="Arial"/>
          <w:sz w:val="22"/>
          <w:szCs w:val="22"/>
        </w:rPr>
      </w:pPr>
    </w:p>
    <w:p w:rsidR="00EB152B" w:rsidRDefault="00EB152B" w:rsidP="00EB152B">
      <w:pPr>
        <w:suppressAutoHyphens/>
        <w:jc w:val="both"/>
        <w:outlineLvl w:val="0"/>
        <w:rPr>
          <w:rFonts w:ascii="Arial Narrow" w:hAnsi="Arial Narrow" w:cs="Arial"/>
          <w:sz w:val="16"/>
          <w:szCs w:val="20"/>
        </w:rPr>
      </w:pPr>
    </w:p>
    <w:p w:rsidR="00EB152B" w:rsidRPr="002033B5" w:rsidRDefault="00EB152B" w:rsidP="00EB152B">
      <w:pPr>
        <w:suppressAutoHyphens/>
        <w:jc w:val="both"/>
        <w:outlineLvl w:val="0"/>
        <w:rPr>
          <w:rFonts w:ascii="Arial" w:hAnsi="Arial" w:cs="Arial"/>
          <w:sz w:val="14"/>
          <w:szCs w:val="14"/>
        </w:rPr>
      </w:pPr>
      <w:r w:rsidRPr="00205FDB">
        <w:rPr>
          <w:rFonts w:ascii="Arial Narrow" w:hAnsi="Arial Narrow" w:cs="Arial"/>
          <w:sz w:val="16"/>
          <w:szCs w:val="20"/>
        </w:rPr>
        <w:t>Proyectó:</w:t>
      </w:r>
      <w:r>
        <w:rPr>
          <w:rFonts w:ascii="Arial Narrow" w:hAnsi="Arial Narrow" w:cs="Arial"/>
          <w:sz w:val="16"/>
          <w:szCs w:val="20"/>
        </w:rPr>
        <w:t xml:space="preserve"> Yenny Paola Lozano Romero </w:t>
      </w:r>
    </w:p>
    <w:p w:rsidR="00EB152B" w:rsidRDefault="00EB152B" w:rsidP="00EB152B">
      <w:pPr>
        <w:tabs>
          <w:tab w:val="left" w:pos="7365"/>
        </w:tabs>
        <w:jc w:val="both"/>
        <w:rPr>
          <w:rFonts w:ascii="Arial Narrow" w:hAnsi="Arial Narrow" w:cs="Arial"/>
          <w:sz w:val="16"/>
          <w:szCs w:val="20"/>
        </w:rPr>
      </w:pPr>
      <w:r>
        <w:rPr>
          <w:rFonts w:ascii="Arial Narrow" w:hAnsi="Arial Narrow" w:cs="Arial"/>
          <w:sz w:val="16"/>
          <w:szCs w:val="20"/>
        </w:rPr>
        <w:t>Proyectó: Sandra Carolina Díaz Mesa</w:t>
      </w:r>
    </w:p>
    <w:p w:rsidR="004C4687" w:rsidRDefault="004C4687"/>
    <w:sectPr w:rsidR="004C4687" w:rsidSect="00362FDB">
      <w:headerReference w:type="even" r:id="rId7"/>
      <w:headerReference w:type="default" r:id="rId8"/>
      <w:footerReference w:type="default" r:id="rId9"/>
      <w:headerReference w:type="firs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B75" w:rsidRDefault="00362B75">
      <w:r>
        <w:separator/>
      </w:r>
    </w:p>
  </w:endnote>
  <w:endnote w:type="continuationSeparator" w:id="0">
    <w:p w:rsidR="00362B75" w:rsidRDefault="00362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utura">
    <w:altName w:val="Lucida Sans Unicode"/>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C9F" w:rsidRPr="0095780C" w:rsidRDefault="006B144C">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D41C9F" w:rsidRPr="0095780C" w:rsidRDefault="006B144C">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D41C9F" w:rsidRPr="0095780C" w:rsidRDefault="006B144C">
    <w:pPr>
      <w:pStyle w:val="Piedepgina"/>
      <w:rPr>
        <w:rFonts w:ascii="Futura" w:hAnsi="Futura" w:cs="Futura"/>
        <w:color w:val="A5A5A5" w:themeColor="accent3"/>
      </w:rPr>
    </w:pPr>
    <w:r w:rsidRPr="0095780C">
      <w:rPr>
        <w:rFonts w:ascii="Futura" w:hAnsi="Futura" w:cs="Futura"/>
        <w:color w:val="A5A5A5" w:themeColor="accent3"/>
      </w:rPr>
      <w:t xml:space="preserve">www. </w:t>
    </w:r>
    <w:r>
      <w:rPr>
        <w:rFonts w:ascii="Futura" w:hAnsi="Futura" w:cs="Futura"/>
        <w:color w:val="A5A5A5" w:themeColor="accent3"/>
      </w:rPr>
      <w:t>m</w:t>
    </w:r>
    <w:r w:rsidRPr="0095780C">
      <w:rPr>
        <w:rFonts w:ascii="Futura" w:hAnsi="Futura" w:cs="Futura"/>
        <w:color w:val="A5A5A5"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B75" w:rsidRDefault="00362B75">
      <w:r>
        <w:separator/>
      </w:r>
    </w:p>
  </w:footnote>
  <w:footnote w:type="continuationSeparator" w:id="0">
    <w:p w:rsidR="00362B75" w:rsidRDefault="00362B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C9F" w:rsidRDefault="00362B75">
    <w:pPr>
      <w:pStyle w:val="Encabezado"/>
    </w:pPr>
    <w:sdt>
      <w:sdtPr>
        <w:id w:val="171999623"/>
        <w:temporary/>
        <w:showingPlcHdr/>
      </w:sdtPr>
      <w:sdtEndPr/>
      <w:sdtContent>
        <w:r w:rsidR="006B144C">
          <w:rPr>
            <w:lang w:val="es-ES"/>
          </w:rPr>
          <w:t>[Escriba texto]</w:t>
        </w:r>
      </w:sdtContent>
    </w:sdt>
    <w:r w:rsidR="006B144C">
      <w:ptab w:relativeTo="margin" w:alignment="center" w:leader="none"/>
    </w:r>
    <w:sdt>
      <w:sdtPr>
        <w:id w:val="171999624"/>
        <w:temporary/>
        <w:showingPlcHdr/>
      </w:sdtPr>
      <w:sdtEndPr/>
      <w:sdtContent>
        <w:r w:rsidR="006B144C">
          <w:rPr>
            <w:lang w:val="es-ES"/>
          </w:rPr>
          <w:t>[Escriba texto]</w:t>
        </w:r>
      </w:sdtContent>
    </w:sdt>
    <w:r w:rsidR="006B144C">
      <w:ptab w:relativeTo="margin" w:alignment="right" w:leader="none"/>
    </w:r>
    <w:sdt>
      <w:sdtPr>
        <w:id w:val="171999625"/>
        <w:temporary/>
        <w:showingPlcHdr/>
      </w:sdtPr>
      <w:sdtEndPr/>
      <w:sdtContent>
        <w:r w:rsidR="006B144C">
          <w:rPr>
            <w:lang w:val="es-ES"/>
          </w:rPr>
          <w:t>[Escriba texto]</w:t>
        </w:r>
      </w:sdtContent>
    </w:sdt>
  </w:p>
  <w:p w:rsidR="00D41C9F" w:rsidRDefault="00362B75">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45pt;height:807.3pt;z-index:-251656192;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C9F" w:rsidRDefault="006B144C" w:rsidP="0074702F">
    <w:pPr>
      <w:pStyle w:val="Encabezado"/>
      <w:tabs>
        <w:tab w:val="clear" w:pos="4252"/>
        <w:tab w:val="clear" w:pos="8504"/>
        <w:tab w:val="left" w:pos="4125"/>
      </w:tabs>
      <w:rPr>
        <w:noProof/>
        <w:lang w:val="es-CO" w:eastAsia="es-CO"/>
      </w:rPr>
    </w:pPr>
    <w:r>
      <w:rPr>
        <w:noProof/>
        <w:lang w:val="es-CO" w:eastAsia="es-CO"/>
      </w:rPr>
      <w:drawing>
        <wp:anchor distT="0" distB="0" distL="114300" distR="114300" simplePos="0" relativeHeight="251663360" behindDoc="1" locked="0" layoutInCell="1" allowOverlap="1" wp14:anchorId="08845E83" wp14:editId="592A8C99">
          <wp:simplePos x="0" y="0"/>
          <wp:positionH relativeFrom="column">
            <wp:posOffset>4452730</wp:posOffset>
          </wp:positionH>
          <wp:positionV relativeFrom="paragraph">
            <wp:posOffset>-318991</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r>
      <w:rPr>
        <w:noProof/>
        <w:lang w:val="es-CO" w:eastAsia="es-CO"/>
      </w:rPr>
      <mc:AlternateContent>
        <mc:Choice Requires="wps">
          <w:drawing>
            <wp:anchor distT="0" distB="0" distL="114300" distR="114300" simplePos="0" relativeHeight="251662336" behindDoc="0" locked="0" layoutInCell="1" allowOverlap="1" wp14:anchorId="5060AE96" wp14:editId="281684A3">
              <wp:simplePos x="0" y="0"/>
              <wp:positionH relativeFrom="column">
                <wp:posOffset>4973320</wp:posOffset>
              </wp:positionH>
              <wp:positionV relativeFrom="paragraph">
                <wp:posOffset>8627745</wp:posOffset>
              </wp:positionV>
              <wp:extent cx="1128395" cy="48577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C9F" w:rsidRDefault="006B144C"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D41C9F" w:rsidRDefault="006B144C"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D41C9F" w:rsidRDefault="006B144C"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D41C9F" w:rsidRDefault="006B144C"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60AE96"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D41C9F" w:rsidRDefault="006B144C"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D41C9F" w:rsidRDefault="006B144C"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D41C9F" w:rsidRDefault="006B144C"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D41C9F" w:rsidRDefault="006B144C"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v:textbox>
            </v:shape>
          </w:pict>
        </mc:Fallback>
      </mc:AlternateContent>
    </w:r>
  </w:p>
  <w:p w:rsidR="00D41C9F" w:rsidRDefault="00362B75" w:rsidP="0074702F">
    <w:pPr>
      <w:pStyle w:val="Encabezado"/>
      <w:tabs>
        <w:tab w:val="clear" w:pos="4252"/>
        <w:tab w:val="clear" w:pos="8504"/>
        <w:tab w:val="left" w:pos="4125"/>
      </w:tabs>
      <w:rPr>
        <w:noProof/>
        <w:lang w:val="es-CO" w:eastAsia="es-CO"/>
      </w:rPr>
    </w:pPr>
  </w:p>
  <w:p w:rsidR="00D41C9F" w:rsidRDefault="00362B75" w:rsidP="0074702F">
    <w:pPr>
      <w:pStyle w:val="Encabezado"/>
      <w:tabs>
        <w:tab w:val="clear" w:pos="4252"/>
        <w:tab w:val="clear" w:pos="8504"/>
        <w:tab w:val="left" w:pos="4125"/>
      </w:tabs>
      <w:rPr>
        <w:noProof/>
        <w:lang w:val="es-CO" w:eastAsia="es-CO"/>
      </w:rPr>
    </w:pPr>
  </w:p>
  <w:p w:rsidR="00D41C9F" w:rsidRDefault="006B144C" w:rsidP="00E87B1D">
    <w:pPr>
      <w:pStyle w:val="Encabezado"/>
      <w:tabs>
        <w:tab w:val="clear" w:pos="4252"/>
        <w:tab w:val="clear" w:pos="8504"/>
        <w:tab w:val="left" w:pos="5979"/>
      </w:tabs>
      <w:rPr>
        <w:noProof/>
        <w:lang w:val="es-CO" w:eastAsia="es-CO"/>
      </w:rPr>
    </w:pPr>
    <w:r>
      <w:rPr>
        <w:noProof/>
        <w:lang w:val="es-CO" w:eastAsia="es-CO"/>
      </w:rPr>
      <w:tab/>
    </w:r>
  </w:p>
  <w:p w:rsidR="00D41C9F" w:rsidRDefault="00362B75" w:rsidP="00E87B1D">
    <w:pPr>
      <w:pStyle w:val="Encabezado"/>
      <w:tabs>
        <w:tab w:val="clear" w:pos="4252"/>
        <w:tab w:val="clear" w:pos="8504"/>
        <w:tab w:val="left" w:pos="5979"/>
      </w:tabs>
      <w:rPr>
        <w:noProof/>
        <w:lang w:val="es-CO" w:eastAsia="es-CO"/>
      </w:rPr>
    </w:pPr>
  </w:p>
  <w:p w:rsidR="00D41C9F" w:rsidRDefault="00362B75" w:rsidP="0074702F">
    <w:pPr>
      <w:pStyle w:val="Encabezado"/>
      <w:tabs>
        <w:tab w:val="clear" w:pos="4252"/>
        <w:tab w:val="clear" w:pos="8504"/>
        <w:tab w:val="left" w:pos="4125"/>
      </w:tabs>
      <w:rPr>
        <w:noProof/>
        <w:lang w:val="es-CO" w:eastAsia="es-CO"/>
      </w:rPr>
    </w:pPr>
  </w:p>
  <w:p w:rsidR="00D41C9F" w:rsidRDefault="00362B75" w:rsidP="0074702F">
    <w:pPr>
      <w:pStyle w:val="Encabezado"/>
      <w:tabs>
        <w:tab w:val="clear" w:pos="4252"/>
        <w:tab w:val="clear" w:pos="8504"/>
        <w:tab w:val="left" w:pos="4125"/>
      </w:tabs>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in;margin-top:-63.4pt;width:643.5pt;height:802.25pt;z-index:-251657216;mso-wrap-edited:f;mso-position-horizontal-relative:margin;mso-position-vertical-relative:margin" wrapcoords="-26 0 -26 21559 21600 21559 21600 0 -26 0">
          <v:imagedata r:id="rId2" o:title="Carta"/>
          <w10:wrap anchorx="margin" anchory="margin"/>
        </v:shape>
      </w:pict>
    </w:r>
    <w:r w:rsidR="006B144C">
      <w:tab/>
    </w:r>
  </w:p>
  <w:p w:rsidR="00D41C9F" w:rsidRDefault="00362B75" w:rsidP="0074702F">
    <w:pPr>
      <w:pStyle w:val="Encabezado"/>
      <w:tabs>
        <w:tab w:val="clear" w:pos="4252"/>
        <w:tab w:val="clear" w:pos="8504"/>
        <w:tab w:val="left" w:pos="41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C9F" w:rsidRDefault="00362B75">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45pt;height:807.3pt;z-index:-251655168;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81118"/>
    <w:multiLevelType w:val="hybridMultilevel"/>
    <w:tmpl w:val="BCF0E1A0"/>
    <w:lvl w:ilvl="0" w:tplc="7C46EDB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4CF51299"/>
    <w:multiLevelType w:val="hybridMultilevel"/>
    <w:tmpl w:val="60C83BDA"/>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doNotDisplayPageBoundari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2B"/>
    <w:rsid w:val="00010CB9"/>
    <w:rsid w:val="000520BD"/>
    <w:rsid w:val="00362B75"/>
    <w:rsid w:val="004C4687"/>
    <w:rsid w:val="006B144C"/>
    <w:rsid w:val="00790376"/>
    <w:rsid w:val="007F7522"/>
    <w:rsid w:val="0083077E"/>
    <w:rsid w:val="00883BE4"/>
    <w:rsid w:val="008A775B"/>
    <w:rsid w:val="00AA3029"/>
    <w:rsid w:val="00B20C00"/>
    <w:rsid w:val="00CB7483"/>
    <w:rsid w:val="00CD5694"/>
    <w:rsid w:val="00D24C69"/>
    <w:rsid w:val="00EB15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7B3919C7-3CAA-4231-88B2-AD3A1D8F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52B"/>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B152B"/>
    <w:pPr>
      <w:tabs>
        <w:tab w:val="center" w:pos="4252"/>
        <w:tab w:val="right" w:pos="8504"/>
      </w:tabs>
    </w:pPr>
  </w:style>
  <w:style w:type="character" w:customStyle="1" w:styleId="EncabezadoCar">
    <w:name w:val="Encabezado Car"/>
    <w:basedOn w:val="Fuentedeprrafopredeter"/>
    <w:link w:val="Encabezado"/>
    <w:rsid w:val="00EB152B"/>
    <w:rPr>
      <w:rFonts w:eastAsiaTheme="minorEastAsia"/>
      <w:sz w:val="24"/>
      <w:szCs w:val="24"/>
      <w:lang w:val="es-ES_tradnl" w:eastAsia="es-ES"/>
    </w:rPr>
  </w:style>
  <w:style w:type="paragraph" w:styleId="Piedepgina">
    <w:name w:val="footer"/>
    <w:basedOn w:val="Normal"/>
    <w:link w:val="PiedepginaCar"/>
    <w:uiPriority w:val="99"/>
    <w:unhideWhenUsed/>
    <w:rsid w:val="00EB152B"/>
    <w:pPr>
      <w:tabs>
        <w:tab w:val="center" w:pos="4252"/>
        <w:tab w:val="right" w:pos="8504"/>
      </w:tabs>
    </w:pPr>
  </w:style>
  <w:style w:type="character" w:customStyle="1" w:styleId="PiedepginaCar">
    <w:name w:val="Pie de página Car"/>
    <w:basedOn w:val="Fuentedeprrafopredeter"/>
    <w:link w:val="Piedepgina"/>
    <w:uiPriority w:val="99"/>
    <w:rsid w:val="00EB152B"/>
    <w:rPr>
      <w:rFonts w:eastAsiaTheme="minorEastAsia"/>
      <w:sz w:val="24"/>
      <w:szCs w:val="24"/>
      <w:lang w:val="es-ES_tradnl" w:eastAsia="es-ES"/>
    </w:rPr>
  </w:style>
  <w:style w:type="paragraph" w:styleId="Prrafodelista">
    <w:name w:val="List Paragraph"/>
    <w:aliases w:val="titulo 5,Bolita"/>
    <w:basedOn w:val="Normal"/>
    <w:link w:val="PrrafodelistaCar"/>
    <w:uiPriority w:val="34"/>
    <w:qFormat/>
    <w:rsid w:val="00EB152B"/>
    <w:pPr>
      <w:ind w:left="720"/>
      <w:contextualSpacing/>
    </w:pPr>
  </w:style>
  <w:style w:type="paragraph" w:styleId="NormalWeb">
    <w:name w:val="Normal (Web)"/>
    <w:basedOn w:val="Normal"/>
    <w:uiPriority w:val="99"/>
    <w:semiHidden/>
    <w:unhideWhenUsed/>
    <w:rsid w:val="00EB152B"/>
    <w:pPr>
      <w:spacing w:before="100" w:beforeAutospacing="1" w:after="100" w:afterAutospacing="1"/>
    </w:pPr>
    <w:rPr>
      <w:rFonts w:ascii="Times New Roman" w:eastAsia="Times New Roman" w:hAnsi="Times New Roman" w:cs="Times New Roman"/>
      <w:lang w:val="es-CO" w:eastAsia="es-CO"/>
    </w:rPr>
  </w:style>
  <w:style w:type="character" w:customStyle="1" w:styleId="PrrafodelistaCar">
    <w:name w:val="Párrafo de lista Car"/>
    <w:aliases w:val="titulo 5 Car,Bolita Car"/>
    <w:link w:val="Prrafodelista"/>
    <w:uiPriority w:val="34"/>
    <w:locked/>
    <w:rsid w:val="00EB152B"/>
    <w:rPr>
      <w:rFonts w:eastAsiaTheme="minorEastAsia"/>
      <w:sz w:val="24"/>
      <w:szCs w:val="24"/>
      <w:lang w:val="es-ES_tradnl" w:eastAsia="es-ES"/>
    </w:rPr>
  </w:style>
  <w:style w:type="paragraph" w:styleId="Textodeglobo">
    <w:name w:val="Balloon Text"/>
    <w:basedOn w:val="Normal"/>
    <w:link w:val="TextodegloboCar"/>
    <w:uiPriority w:val="99"/>
    <w:semiHidden/>
    <w:unhideWhenUsed/>
    <w:rsid w:val="008A775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775B"/>
    <w:rPr>
      <w:rFonts w:ascii="Segoe UI" w:eastAsiaTheme="minorEastAsia" w:hAnsi="Segoe UI" w:cs="Segoe UI"/>
      <w:sz w:val="18"/>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957</TotalTime>
  <Pages>4</Pages>
  <Words>1168</Words>
  <Characters>6424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Sandra Carolina Díaz Mesa</cp:lastModifiedBy>
  <cp:revision>8</cp:revision>
  <cp:lastPrinted>2017-11-29T21:39:00Z</cp:lastPrinted>
  <dcterms:created xsi:type="dcterms:W3CDTF">2017-11-29T19:59:00Z</dcterms:created>
  <dcterms:modified xsi:type="dcterms:W3CDTF">2018-01-30T15:20:00Z</dcterms:modified>
</cp:coreProperties>
</file>